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TIC, clasa a XI-a, filologie</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Tehnologia informației și a comunicațiilor (Tehnoredactare asistată de calculator)</w:t>
      </w:r>
    </w:p>
    <w:p>
      <w:pPr>
        <w:spacing w:before="0" w:after="40" w:line="240" w:lineRule="auto"/>
      </w:pPr>
      <w:r>
        <w:rPr>
          <w:b/>
          <w:sz w:val="19"/>
          <w:szCs w:val="19"/>
        </w:rPr>
        <w:t xml:space="preserve">Clasa:</w:t>
      </w:r>
      <w:r>
        <w:rPr>
          <w:sz w:val="19"/>
          <w:szCs w:val="19"/>
        </w:rPr>
        <w:t xml:space="preserve"> a XI-a</w:t>
      </w:r>
    </w:p>
    <w:p>
      <w:pPr>
        <w:spacing w:before="0" w:after="40" w:line="240" w:lineRule="auto"/>
      </w:pPr>
      <w:r>
        <w:rPr>
          <w:b/>
          <w:sz w:val="19"/>
          <w:szCs w:val="19"/>
        </w:rPr>
        <w:t xml:space="preserve">Filiera / profilul:</w:t>
      </w:r>
      <w:r>
        <w:rPr>
          <w:sz w:val="19"/>
          <w:szCs w:val="19"/>
        </w:rPr>
        <w:t xml:space="preserve"> Teoretică, profil umanist</w:t>
      </w:r>
    </w:p>
    <w:p>
      <w:pPr>
        <w:spacing w:before="0" w:after="40" w:line="240" w:lineRule="auto"/>
      </w:pPr>
      <w:r>
        <w:rPr>
          <w:b/>
          <w:sz w:val="19"/>
          <w:szCs w:val="19"/>
        </w:rPr>
        <w:t xml:space="preserve">Specializarea:</w:t>
      </w:r>
      <w:r>
        <w:rPr>
          <w:sz w:val="19"/>
          <w:szCs w:val="19"/>
        </w:rPr>
        <w:t xml:space="preserve"> Filologie</w:t>
      </w:r>
    </w:p>
    <w:p>
      <w:pPr>
        <w:spacing w:before="0" w:after="40" w:line="240" w:lineRule="auto"/>
      </w:pPr>
      <w:r>
        <w:rPr>
          <w:b/>
          <w:sz w:val="19"/>
          <w:szCs w:val="19"/>
        </w:rPr>
        <w:t xml:space="preserve">Nr. ore / săptămână:</w:t>
      </w:r>
      <w:r>
        <w:rPr>
          <w:sz w:val="19"/>
          <w:szCs w:val="19"/>
        </w:rPr>
        <w:t xml:space="preserve"> 1 oră</w:t>
      </w:r>
    </w:p>
    <w:p>
      <w:pPr>
        <w:spacing w:before="0" w:after="40" w:line="240" w:lineRule="auto"/>
      </w:pPr>
      <w:r>
        <w:rPr>
          <w:b/>
          <w:sz w:val="19"/>
          <w:szCs w:val="19"/>
        </w:rPr>
        <w:t xml:space="preserve">Total anual:</w:t>
      </w:r>
      <w:r>
        <w:rPr>
          <w:sz w:val="19"/>
          <w:szCs w:val="19"/>
        </w:rPr>
        <w:t xml:space="preserve"> 36 ore / 36 săptămâni</w:t>
      </w:r>
    </w:p>
    <w:p>
      <w:pPr>
        <w:spacing w:before="0" w:after="40" w:line="240" w:lineRule="auto"/>
      </w:pPr>
      <w:r>
        <w:rPr>
          <w:b/>
          <w:sz w:val="19"/>
          <w:szCs w:val="19"/>
        </w:rPr>
        <w:t xml:space="preserve">Programa școlară:</w:t>
      </w:r>
      <w:r>
        <w:rPr>
          <w:sz w:val="19"/>
          <w:szCs w:val="19"/>
        </w:rPr>
        <w:t xml:space="preserve"> OMECI nr. 5.099/09.09.2009, anexa nr. 5</w:t>
      </w:r>
    </w:p>
    <w:p>
      <w:pPr>
        <w:spacing w:before="0" w:after="40" w:line="240" w:lineRule="auto"/>
      </w:pPr>
      <w:r>
        <w:rPr>
          <w:b/>
          <w:sz w:val="19"/>
          <w:szCs w:val="19"/>
        </w:rPr>
        <w:t xml:space="preserve">Plan-cadru:</w:t>
      </w:r>
      <w:r>
        <w:rPr>
          <w:sz w:val="19"/>
          <w:szCs w:val="19"/>
        </w:rPr>
        <w:t xml:space="preserve"> OMECI nr. 3.410/16.03.2009 — curriculum diferențiat</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Modulele anului școlar (OME nr. 3.194/2026): M1 = S1–S7 (7 septembrie – 23 octombrie 2026), M2 = S8–S15 (2 noiembrie – 22 decembrie 2026), M3 = S16–S21 (11 ianuarie – 19 februarie 2027), M4 = S22–S29 (1 martie – 23 aprilie 2027), M5 = S30–S36 (5 mai – 18 iunie 2027). „Școala altfel” este planificată în 19–23 octombrie 2026 (S7), „Săptămâna verde” în 19–23 aprilie 2027 (S29), iar vacanța mobilă în 22–28 februarie 2027. Orele care cad luni, 30 noiembrie, marți, 1 decembrie, sau marți, 1 iunie, se recuperează după programul stabilit de unitatea de învățământ.</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Evaluare inițială</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Spațiul de lucru și pagina tipărită</w:t>
            </w:r>
          </w:p>
        </w:tc>
        <w:tc>
          <w:tcPr>
            <w:tcW w:w="3330" w:type="dxa"/>
            <w:vAlign w:val="top"/>
          </w:tcPr>
          <w:p>
            <w:pPr>
              <w:spacing w:before="0" w:after="0" w:line="240" w:lineRule="auto"/>
              <w:jc w:val="center"/>
            </w:pPr>
            <w:r>
              <w:rPr>
                <w:sz w:val="16"/>
                <w:szCs w:val="16"/>
              </w:rPr>
              <w:t xml:space="preserve">5</w:t>
            </w:r>
          </w:p>
        </w:tc>
      </w:tr>
      <w:tr>
        <w:trPr>
          <w:cantSplit/>
        </w:trPr>
        <w:tc>
          <w:tcPr>
            <w:tcW w:w="11806" w:type="dxa"/>
            <w:vAlign w:val="top"/>
          </w:tcPr>
          <w:p>
            <w:pPr>
              <w:spacing w:before="0" w:after="0" w:line="240" w:lineRule="auto"/>
            </w:pPr>
            <w:r>
              <w:rPr>
                <w:sz w:val="16"/>
                <w:szCs w:val="16"/>
              </w:rPr>
              <w:t xml:space="preserve">Organizarea unei lucrări de întindere mare</w:t>
            </w:r>
          </w:p>
        </w:tc>
        <w:tc>
          <w:tcPr>
            <w:tcW w:w="3330" w:type="dxa"/>
            <w:vAlign w:val="top"/>
          </w:tcPr>
          <w:p>
            <w:pPr>
              <w:spacing w:before="0" w:after="0" w:line="240" w:lineRule="auto"/>
              <w:jc w:val="center"/>
            </w:pPr>
            <w:r>
              <w:rPr>
                <w:sz w:val="16"/>
                <w:szCs w:val="16"/>
              </w:rPr>
              <w:t xml:space="preserve">8</w:t>
            </w:r>
          </w:p>
        </w:tc>
      </w:tr>
      <w:tr>
        <w:trPr>
          <w:cantSplit/>
        </w:trPr>
        <w:tc>
          <w:tcPr>
            <w:tcW w:w="11806" w:type="dxa"/>
            <w:vAlign w:val="top"/>
          </w:tcPr>
          <w:p>
            <w:pPr>
              <w:spacing w:before="0" w:after="0" w:line="240" w:lineRule="auto"/>
            </w:pPr>
            <w:r>
              <w:rPr>
                <w:sz w:val="16"/>
                <w:szCs w:val="16"/>
              </w:rPr>
              <w:t xml:space="preserve">Utilizarea avansată a procesorului de texte</w:t>
            </w:r>
          </w:p>
        </w:tc>
        <w:tc>
          <w:tcPr>
            <w:tcW w:w="3330" w:type="dxa"/>
            <w:vAlign w:val="top"/>
          </w:tcPr>
          <w:p>
            <w:pPr>
              <w:spacing w:before="0" w:after="0" w:line="240" w:lineRule="auto"/>
              <w:jc w:val="center"/>
            </w:pPr>
            <w:r>
              <w:rPr>
                <w:sz w:val="16"/>
                <w:szCs w:val="16"/>
              </w:rPr>
              <w:t xml:space="preserve">6</w:t>
            </w:r>
          </w:p>
        </w:tc>
      </w:tr>
      <w:tr>
        <w:trPr>
          <w:cantSplit/>
        </w:trPr>
        <w:tc>
          <w:tcPr>
            <w:tcW w:w="11806" w:type="dxa"/>
            <w:vAlign w:val="top"/>
          </w:tcPr>
          <w:p>
            <w:pPr>
              <w:spacing w:before="0" w:after="0" w:line="240" w:lineRule="auto"/>
            </w:pPr>
            <w:r>
              <w:rPr>
                <w:sz w:val="16"/>
                <w:szCs w:val="16"/>
              </w:rPr>
              <w:t xml:space="preserve">Procesorul de texte profesional</w:t>
            </w:r>
          </w:p>
        </w:tc>
        <w:tc>
          <w:tcPr>
            <w:tcW w:w="3330" w:type="dxa"/>
            <w:vAlign w:val="top"/>
          </w:tcPr>
          <w:p>
            <w:pPr>
              <w:spacing w:before="0" w:after="0" w:line="240" w:lineRule="auto"/>
              <w:jc w:val="center"/>
            </w:pPr>
            <w:r>
              <w:rPr>
                <w:sz w:val="16"/>
                <w:szCs w:val="16"/>
              </w:rPr>
              <w:t xml:space="preserve">6</w:t>
            </w:r>
          </w:p>
        </w:tc>
      </w:tr>
      <w:tr>
        <w:trPr>
          <w:cantSplit/>
        </w:trPr>
        <w:tc>
          <w:tcPr>
            <w:tcW w:w="11806" w:type="dxa"/>
            <w:vAlign w:val="top"/>
          </w:tcPr>
          <w:p>
            <w:pPr>
              <w:spacing w:before="0" w:after="0" w:line="240" w:lineRule="auto"/>
            </w:pPr>
            <w:r>
              <w:rPr>
                <w:sz w:val="16"/>
                <w:szCs w:val="16"/>
              </w:rPr>
              <w:t xml:space="preserve">Publicații realizate în echipă</w:t>
            </w:r>
          </w:p>
        </w:tc>
        <w:tc>
          <w:tcPr>
            <w:tcW w:w="3330" w:type="dxa"/>
            <w:vAlign w:val="top"/>
          </w:tcPr>
          <w:p>
            <w:pPr>
              <w:spacing w:before="0" w:after="0" w:line="240" w:lineRule="auto"/>
              <w:jc w:val="center"/>
            </w:pPr>
            <w:r>
              <w:rPr>
                <w:sz w:val="16"/>
                <w:szCs w:val="16"/>
              </w:rPr>
              <w:t xml:space="preserve">5</w:t>
            </w:r>
          </w:p>
        </w:tc>
      </w:tr>
      <w:tr>
        <w:trPr>
          <w:cantSplit/>
        </w:trPr>
        <w:tc>
          <w:tcPr>
            <w:tcW w:w="11806" w:type="dxa"/>
            <w:vAlign w:val="top"/>
          </w:tcPr>
          <w:p>
            <w:pPr>
              <w:spacing w:before="0" w:after="0" w:line="240" w:lineRule="auto"/>
            </w:pPr>
            <w:r>
              <w:rPr>
                <w:sz w:val="16"/>
                <w:szCs w:val="16"/>
              </w:rPr>
              <w:t xml:space="preserve">Evaluare sumativă</w:t>
            </w:r>
          </w:p>
        </w:tc>
        <w:tc>
          <w:tcPr>
            <w:tcW w:w="3330" w:type="dxa"/>
            <w:vAlign w:val="top"/>
          </w:tcPr>
          <w:p>
            <w:pPr>
              <w:spacing w:before="0" w:after="0" w:line="240" w:lineRule="auto"/>
              <w:jc w:val="center"/>
            </w:pPr>
            <w:r>
              <w:rPr>
                <w:sz w:val="16"/>
                <w:szCs w:val="16"/>
              </w:rPr>
              <w:t xml:space="preserve">3</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36</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Normele de securitate și regulile de lucru în laboratorul de informatică. Evaluarea predictivă a deprinderilor de tehnoredactare formate în clasa a IX-a.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Spațiul de lucru și pagina tipărită</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Definirea spațiului de lucru și a spațiului tipografic. Elemente tehnice: dimensiunile paginii, margini, zonă de imprimare.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Spațiul de lucru și pagina tipărită</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Formate de coli și de pagini. Modalități de imprimare: negativ, în oglindă, separații de culoare, broșură.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Spațiul de lucru și pagina tipărită</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Elemente grafice și de structură pe pagina tipărită: casete de text, coloane, imagini, titluri, subtitluri. Margini. Antet. Subsol.</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Spațiul de lucru și pagina tipărită</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Reguli generale de compoziție pe pagina destinată tipăririi: raportul vid-plin, raportul text-imagine, echilibru, proporții.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Spațiul de lucru și pagina tipărită</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Reguli de ergonomie și estetică a paginii tipărite. Aplicație practică: macheta unei pagini de revistă.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documentarea și fotografierea pentru numărul următor al revistei școlare.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1.3</w:t>
            </w:r>
          </w:p>
        </w:tc>
        <w:tc>
          <w:tcPr>
            <w:tcW w:w="7190" w:type="dxa"/>
            <w:vAlign w:val="top"/>
          </w:tcPr>
          <w:p>
            <w:pPr>
              <w:spacing w:before="0" w:after="0" w:line="240" w:lineRule="auto"/>
            </w:pPr>
            <w:r>
              <w:rPr>
                <w:sz w:val="16"/>
                <w:szCs w:val="16"/>
              </w:rPr>
              <w:t xml:space="preserve">Elemente generale de structură: capitol, subcapitol, paragraf, alineat.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1.3</w:t>
            </w:r>
          </w:p>
        </w:tc>
        <w:tc>
          <w:tcPr>
            <w:tcW w:w="7190" w:type="dxa"/>
            <w:vAlign w:val="top"/>
          </w:tcPr>
          <w:p>
            <w:pPr>
              <w:spacing w:before="0" w:after="0" w:line="240" w:lineRule="auto"/>
            </w:pPr>
            <w:r>
              <w:rPr>
                <w:sz w:val="16"/>
                <w:szCs w:val="16"/>
              </w:rPr>
              <w:t xml:space="preserve">Cuprinsul, numerotarea paginilor, indexul și glosarul de termeni ale unei lucrări.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1.3</w:t>
            </w:r>
          </w:p>
        </w:tc>
        <w:tc>
          <w:tcPr>
            <w:tcW w:w="7190" w:type="dxa"/>
            <w:vAlign w:val="top"/>
          </w:tcPr>
          <w:p>
            <w:pPr>
              <w:spacing w:before="0" w:after="0" w:line="240" w:lineRule="auto"/>
            </w:pPr>
            <w:r>
              <w:rPr>
                <w:sz w:val="16"/>
                <w:szCs w:val="16"/>
              </w:rPr>
              <w:t xml:space="preserve">Revista: elemente de organizare grafică și structurală a textului și a imaginii. Echilibru și unitate grafică.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Stabilirea formatului paginii de lucru și a designului general. Formatarea textului: corp de literă, stil, mărime, culori, centrare, aliniere.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Formate de paragrafe: marcatori și numerotări, borduri, tabulatori. Stabilirea culorilor și a fondurilor.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1.4</w:t>
            </w:r>
          </w:p>
        </w:tc>
        <w:tc>
          <w:tcPr>
            <w:tcW w:w="7190" w:type="dxa"/>
            <w:vAlign w:val="top"/>
          </w:tcPr>
          <w:p>
            <w:pPr>
              <w:spacing w:before="0" w:after="0" w:line="240" w:lineRule="auto"/>
            </w:pPr>
            <w:r>
              <w:rPr>
                <w:sz w:val="16"/>
                <w:szCs w:val="16"/>
              </w:rPr>
              <w:t xml:space="preserve">Utilizarea stilurilor. Șablonizarea documentelor care compun modulele unei lucrări.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1.5</w:t>
            </w:r>
          </w:p>
        </w:tc>
        <w:tc>
          <w:tcPr>
            <w:tcW w:w="7190" w:type="dxa"/>
            <w:vAlign w:val="top"/>
          </w:tcPr>
          <w:p>
            <w:pPr>
              <w:spacing w:before="0" w:after="0" w:line="240" w:lineRule="auto"/>
            </w:pPr>
            <w:r>
              <w:rPr>
                <w:sz w:val="16"/>
                <w:szCs w:val="16"/>
              </w:rPr>
              <w:t xml:space="preserve">Inserarea obiectelor: imagini scanate, fotografii, scheme grafice, desene, ecuații. Formatarea obiectelor și raportarea lor la text.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Evaluare sumativă</w:t>
            </w:r>
          </w:p>
        </w:tc>
        <w:tc>
          <w:tcPr>
            <w:tcW w:w="1665" w:type="dxa"/>
            <w:vAlign w:val="top"/>
          </w:tcPr>
          <w:p>
            <w:pPr>
              <w:spacing w:before="0" w:after="0" w:line="240" w:lineRule="auto"/>
              <w:jc w:val="center"/>
            </w:pPr>
            <w:r>
              <w:rPr>
                <w:sz w:val="16"/>
                <w:szCs w:val="16"/>
              </w:rPr>
              <w:t xml:space="preserve">1.1–1.5</w:t>
            </w:r>
          </w:p>
        </w:tc>
        <w:tc>
          <w:tcPr>
            <w:tcW w:w="7190" w:type="dxa"/>
            <w:vAlign w:val="top"/>
          </w:tcPr>
          <w:p>
            <w:pPr>
              <w:spacing w:before="0" w:after="0" w:line="240" w:lineRule="auto"/>
            </w:pPr>
            <w:r>
              <w:rPr>
                <w:sz w:val="16"/>
                <w:szCs w:val="16"/>
              </w:rPr>
              <w:t xml:space="preserve">Machetarea unei lucrări de câteva pagini, cu stiluri, cuprins și obiecte grafice inserate.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Organizarea unei lucrări de întindere mare</w:t>
            </w:r>
          </w:p>
        </w:tc>
        <w:tc>
          <w:tcPr>
            <w:tcW w:w="1665" w:type="dxa"/>
            <w:vAlign w:val="top"/>
          </w:tcPr>
          <w:p>
            <w:pPr>
              <w:spacing w:before="0" w:after="0" w:line="240" w:lineRule="auto"/>
              <w:jc w:val="center"/>
            </w:pPr>
            <w:r>
              <w:rPr>
                <w:sz w:val="16"/>
                <w:szCs w:val="16"/>
              </w:rPr>
              <w:t xml:space="preserve">1.5</w:t>
            </w:r>
          </w:p>
        </w:tc>
        <w:tc>
          <w:tcPr>
            <w:tcW w:w="7190" w:type="dxa"/>
            <w:vAlign w:val="top"/>
          </w:tcPr>
          <w:p>
            <w:pPr>
              <w:spacing w:before="0" w:after="0" w:line="240" w:lineRule="auto"/>
            </w:pPr>
            <w:r>
              <w:rPr>
                <w:sz w:val="16"/>
                <w:szCs w:val="16"/>
              </w:rPr>
              <w:t xml:space="preserve">Optimizarea elementelor grafice. Prelucrarea imaginilor cu ajutorul editoarelor grafice înainte de a fi inserate în document.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Utilizarea avansată a procesorului de texte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Pregătirea documentului: pagină, antet și subsol, paragraf, indentare, stiluri.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Utilizarea avansată a procesorului de texte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Folosirea dicționarului și opțiunile de corecție. Particularizarea meniului pentru acces rapid la funcțiile importante.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Utilizarea avansată a procesorului de texte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Definirea scurtăturilor pentru operații frecvente. Tehnici de tehnoredactare rapidă folosind macrocomenzi.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Utilizarea avansată a procesorului de texte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Lucrul în echipă: funcția „Marcaj de urmărire” (Track Changes), partajarea documentului în rețea.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Utilizarea avansată a procesorului de texte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Finalizarea unei lucrări: corecții, cuprins automat, numerotarea figurilor, pregătirea pentru tipărire.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Utilizarea avansată a procesorului de texte</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Editarea documentelor .pdf. Folosirea în comun a datelor de către aplicații — mecanismul OLE.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Evaluare sumativă</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Lucrare tehnoredactată în procesorul de texte, cu stiluri, cuprins automat și figuri numerotate.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Procesorul de texte profesional</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Lansarea în lucru a aplicației și familiarizarea cu meniul. Pregătirea formatului documentului de lucru: setarea paginii, antet și subsol, formate de coloane.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Procesorul de texte profesional</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Tipuri de casete de text și de imagine, formatarea acestora. Introducerea textului sau a imaginii în casete.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Procesorul de texte profesional</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Controlul asupra textului: formate de text și de paragraf, aliniamente, aranjări în interiorul casetei.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Procesorul de texte profesional</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Controlul asupra imaginii: rotire, potrivire, tăiere. Amplasarea imaginilor în raport cu textul.</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Procesorul de texte profesional</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Inserarea de pagini noi. Capitole și secțiuni. Finalizarea unui document: index, cuprins.</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realizarea unui pliant despre colectarea selectivă din școală.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Procesorul de texte profesional</w:t>
            </w:r>
          </w:p>
        </w:tc>
        <w:tc>
          <w:tcPr>
            <w:tcW w:w="1665" w:type="dxa"/>
            <w:vAlign w:val="top"/>
          </w:tcPr>
          <w:p>
            <w:pPr>
              <w:spacing w:before="0" w:after="0" w:line="240" w:lineRule="auto"/>
              <w:jc w:val="center"/>
            </w:pPr>
            <w:r>
              <w:rPr>
                <w:sz w:val="16"/>
                <w:szCs w:val="16"/>
              </w:rPr>
              <w:t xml:space="preserve">2.2</w:t>
            </w:r>
          </w:p>
        </w:tc>
        <w:tc>
          <w:tcPr>
            <w:tcW w:w="7190" w:type="dxa"/>
            <w:vAlign w:val="top"/>
          </w:tcPr>
          <w:p>
            <w:pPr>
              <w:spacing w:before="0" w:after="0" w:line="240" w:lineRule="auto"/>
            </w:pPr>
            <w:r>
              <w:rPr>
                <w:sz w:val="16"/>
                <w:szCs w:val="16"/>
              </w:rPr>
              <w:t xml:space="preserve">Configurații speciale pentru tipărire: negativ, tipărire în oglindă, separații de culoare. Exercițiu practic: o foaie volantă.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Publicații realizate în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Revista școlară: colectivul de redacție, structura generală, tematica, organizarea grafică, coperțile.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Publicații realizate în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Modularizarea tehnoredactării: stabilirea formatelor de lucru și a șabloanelor. Asamblarea și tipărirea revistei.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Publicații realizate în echipă</w:t>
            </w:r>
          </w:p>
        </w:tc>
        <w:tc>
          <w:tcPr>
            <w:tcW w:w="1665" w:type="dxa"/>
            <w:vAlign w:val="top"/>
          </w:tcPr>
          <w:p>
            <w:pPr>
              <w:spacing w:before="0" w:after="0" w:line="240" w:lineRule="auto"/>
              <w:jc w:val="center"/>
            </w:pPr>
            <w:r>
              <w:rPr>
                <w:sz w:val="16"/>
                <w:szCs w:val="16"/>
              </w:rPr>
              <w:t xml:space="preserve">3.2</w:t>
            </w:r>
          </w:p>
        </w:tc>
        <w:tc>
          <w:tcPr>
            <w:tcW w:w="7190" w:type="dxa"/>
            <w:vAlign w:val="top"/>
          </w:tcPr>
          <w:p>
            <w:pPr>
              <w:spacing w:before="0" w:after="0" w:line="240" w:lineRule="auto"/>
            </w:pPr>
            <w:r>
              <w:rPr>
                <w:sz w:val="16"/>
                <w:szCs w:val="16"/>
              </w:rPr>
              <w:t xml:space="preserve">Cartea de format mic: culegerea textului (creații ale elevilor), realizarea ilustrațiilor, alegerea aplicației de lucru.</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Publicații realizate în echipă</w:t>
            </w:r>
          </w:p>
        </w:tc>
        <w:tc>
          <w:tcPr>
            <w:tcW w:w="1665" w:type="dxa"/>
            <w:vAlign w:val="top"/>
          </w:tcPr>
          <w:p>
            <w:pPr>
              <w:spacing w:before="0" w:after="0" w:line="240" w:lineRule="auto"/>
              <w:jc w:val="center"/>
            </w:pPr>
            <w:r>
              <w:rPr>
                <w:sz w:val="16"/>
                <w:szCs w:val="16"/>
              </w:rPr>
              <w:t xml:space="preserve">3.2</w:t>
            </w:r>
          </w:p>
        </w:tc>
        <w:tc>
          <w:tcPr>
            <w:tcW w:w="7190" w:type="dxa"/>
            <w:vAlign w:val="top"/>
          </w:tcPr>
          <w:p>
            <w:pPr>
              <w:spacing w:before="0" w:after="0" w:line="240" w:lineRule="auto"/>
            </w:pPr>
            <w:r>
              <w:rPr>
                <w:sz w:val="16"/>
                <w:szCs w:val="16"/>
              </w:rPr>
              <w:t xml:space="preserve">Formatarea documentului: pagini A5 sau A6 pe hârtie A4. Tipărirea și asamblarea exemplarului model.</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Publicații realizate în echipă</w:t>
            </w:r>
          </w:p>
        </w:tc>
        <w:tc>
          <w:tcPr>
            <w:tcW w:w="1665" w:type="dxa"/>
            <w:vAlign w:val="top"/>
          </w:tcPr>
          <w:p>
            <w:pPr>
              <w:spacing w:before="0" w:after="0" w:line="240" w:lineRule="auto"/>
              <w:jc w:val="center"/>
            </w:pPr>
            <w:r>
              <w:rPr>
                <w:sz w:val="16"/>
                <w:szCs w:val="16"/>
              </w:rPr>
              <w:t xml:space="preserve">3.3</w:t>
            </w:r>
          </w:p>
        </w:tc>
        <w:tc>
          <w:tcPr>
            <w:tcW w:w="7190" w:type="dxa"/>
            <w:vAlign w:val="top"/>
          </w:tcPr>
          <w:p>
            <w:pPr>
              <w:spacing w:before="0" w:after="0" w:line="240" w:lineRule="auto"/>
            </w:pPr>
            <w:r>
              <w:rPr>
                <w:sz w:val="16"/>
                <w:szCs w:val="16"/>
              </w:rPr>
              <w:t xml:space="preserve">Ziarul: organizarea colectivului de redacție, titlul ziarului, titluri și subtitluri de articole, formatul paginii, culegerea textelor și prelucrarea fotografiilor.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Evaluare sumativă</w:t>
            </w:r>
          </w:p>
        </w:tc>
        <w:tc>
          <w:tcPr>
            <w:tcW w:w="1665" w:type="dxa"/>
            <w:vAlign w:val="top"/>
          </w:tcPr>
          <w:p>
            <w:pPr>
              <w:spacing w:before="0" w:after="0" w:line="240" w:lineRule="auto"/>
              <w:jc w:val="center"/>
            </w:pPr>
            <w:r>
              <w:rPr>
                <w:sz w:val="16"/>
                <w:szCs w:val="16"/>
              </w:rPr>
              <w:t xml:space="preserve">3.1–3.3</w:t>
            </w:r>
          </w:p>
        </w:tc>
        <w:tc>
          <w:tcPr>
            <w:tcW w:w="7190" w:type="dxa"/>
            <w:vAlign w:val="top"/>
          </w:tcPr>
          <w:p>
            <w:pPr>
              <w:spacing w:before="0" w:after="0" w:line="240" w:lineRule="auto"/>
            </w:pPr>
            <w:r>
              <w:rPr>
                <w:sz w:val="16"/>
                <w:szCs w:val="16"/>
              </w:rPr>
              <w:t xml:space="preserve">Prezentarea publicațiilor realizate în echipă și aprecierea lor după criteriile anunțate la începutul proiectului.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S36</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pStyle w:val="Titlu1"/>
        <w:keepNext/>
        <w:spacing w:before="320" w:after="120"/>
      </w:pPr>
      <w:r>
        <w:rPr>
          <w:b/>
          <w:color w:val="1F4E79"/>
          <w:sz w:val="28"/>
          <w:szCs w:val="28"/>
        </w:rPr>
        <w:t xml:space="preserve">Competențe specifice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816"/>
        <w:gridCol w:w="13320"/>
      </w:tblGrid>
      <w:tr>
        <w:trPr>
          <w:cantSplit/>
          <w:tblHeader/>
        </w:trPr>
        <w:tc>
          <w:tcPr>
            <w:tcW w:w="1816" w:type="dxa"/>
            <w:shd w:val="clear" w:color="auto" w:fill="1F4E79"/>
            <w:vAlign w:val="top"/>
          </w:tcPr>
          <w:p>
            <w:pPr>
              <w:spacing w:before="0" w:after="0" w:line="240" w:lineRule="auto"/>
            </w:pPr>
            <w:r>
              <w:rPr>
                <w:b/>
                <w:color w:val="FFFFFF"/>
                <w:sz w:val="16"/>
                <w:szCs w:val="16"/>
              </w:rPr>
              <w:t xml:space="preserve">Cod</w:t>
            </w:r>
          </w:p>
        </w:tc>
        <w:tc>
          <w:tcPr>
            <w:tcW w:w="13320" w:type="dxa"/>
            <w:shd w:val="clear" w:color="auto" w:fill="1F4E79"/>
            <w:vAlign w:val="top"/>
          </w:tcPr>
          <w:p>
            <w:pPr>
              <w:spacing w:before="0" w:after="0" w:line="240" w:lineRule="auto"/>
            </w:pPr>
            <w:r>
              <w:rPr>
                <w:b/>
                <w:color w:val="FFFFFF"/>
                <w:sz w:val="16"/>
                <w:szCs w:val="16"/>
              </w:rPr>
              <w:t xml:space="preserve">Competența</w:t>
            </w:r>
          </w:p>
        </w:tc>
      </w:tr>
      <w:tr>
        <w:trPr>
          <w:cantSplit/>
        </w:trPr>
        <w:tc>
          <w:tcPr>
            <w:tcW w:w="1816" w:type="dxa"/>
            <w:vAlign w:val="top"/>
          </w:tcPr>
          <w:p>
            <w:pPr>
              <w:spacing w:before="0" w:after="0" w:line="240" w:lineRule="auto"/>
            </w:pPr>
            <w:r>
              <w:rPr>
                <w:sz w:val="16"/>
                <w:szCs w:val="16"/>
              </w:rPr>
              <w:t xml:space="preserve">1.1</w:t>
            </w:r>
          </w:p>
        </w:tc>
        <w:tc>
          <w:tcPr>
            <w:tcW w:w="13320" w:type="dxa"/>
            <w:vAlign w:val="top"/>
          </w:tcPr>
          <w:p>
            <w:pPr>
              <w:spacing w:before="0" w:after="0" w:line="240" w:lineRule="auto"/>
            </w:pPr>
            <w:r>
              <w:rPr>
                <w:sz w:val="16"/>
                <w:szCs w:val="16"/>
              </w:rPr>
              <w:t xml:space="preserve">Organizarea spațiului de lucru și a posibilităților de imprimare</w:t>
            </w:r>
          </w:p>
        </w:tc>
      </w:tr>
      <w:tr>
        <w:trPr>
          <w:cantSplit/>
        </w:trPr>
        <w:tc>
          <w:tcPr>
            <w:tcW w:w="1816" w:type="dxa"/>
            <w:vAlign w:val="top"/>
          </w:tcPr>
          <w:p>
            <w:pPr>
              <w:spacing w:before="0" w:after="0" w:line="240" w:lineRule="auto"/>
            </w:pPr>
            <w:r>
              <w:rPr>
                <w:sz w:val="16"/>
                <w:szCs w:val="16"/>
              </w:rPr>
              <w:t xml:space="preserve">1.2</w:t>
            </w:r>
          </w:p>
        </w:tc>
        <w:tc>
          <w:tcPr>
            <w:tcW w:w="13320" w:type="dxa"/>
            <w:vAlign w:val="top"/>
          </w:tcPr>
          <w:p>
            <w:pPr>
              <w:spacing w:before="0" w:after="0" w:line="240" w:lineRule="auto"/>
            </w:pPr>
            <w:r>
              <w:rPr>
                <w:sz w:val="16"/>
                <w:szCs w:val="16"/>
              </w:rPr>
              <w:t xml:space="preserve">Organizarea grafică și de structură a paginii</w:t>
            </w:r>
          </w:p>
        </w:tc>
      </w:tr>
      <w:tr>
        <w:trPr>
          <w:cantSplit/>
        </w:trPr>
        <w:tc>
          <w:tcPr>
            <w:tcW w:w="1816" w:type="dxa"/>
            <w:vAlign w:val="top"/>
          </w:tcPr>
          <w:p>
            <w:pPr>
              <w:spacing w:before="0" w:after="0" w:line="240" w:lineRule="auto"/>
            </w:pPr>
            <w:r>
              <w:rPr>
                <w:sz w:val="16"/>
                <w:szCs w:val="16"/>
              </w:rPr>
              <w:t xml:space="preserve">1.3</w:t>
            </w:r>
          </w:p>
        </w:tc>
        <w:tc>
          <w:tcPr>
            <w:tcW w:w="13320" w:type="dxa"/>
            <w:vAlign w:val="top"/>
          </w:tcPr>
          <w:p>
            <w:pPr>
              <w:spacing w:before="0" w:after="0" w:line="240" w:lineRule="auto"/>
            </w:pPr>
            <w:r>
              <w:rPr>
                <w:sz w:val="16"/>
                <w:szCs w:val="16"/>
              </w:rPr>
              <w:t xml:space="preserve">Organizarea unei lucrări de întindere mare: broșura, revista, cartea</w:t>
            </w:r>
          </w:p>
        </w:tc>
      </w:tr>
      <w:tr>
        <w:trPr>
          <w:cantSplit/>
        </w:trPr>
        <w:tc>
          <w:tcPr>
            <w:tcW w:w="1816" w:type="dxa"/>
            <w:vAlign w:val="top"/>
          </w:tcPr>
          <w:p>
            <w:pPr>
              <w:spacing w:before="0" w:after="0" w:line="240" w:lineRule="auto"/>
            </w:pPr>
            <w:r>
              <w:rPr>
                <w:sz w:val="16"/>
                <w:szCs w:val="16"/>
              </w:rPr>
              <w:t xml:space="preserve">1.4</w:t>
            </w:r>
          </w:p>
        </w:tc>
        <w:tc>
          <w:tcPr>
            <w:tcW w:w="13320" w:type="dxa"/>
            <w:vAlign w:val="top"/>
          </w:tcPr>
          <w:p>
            <w:pPr>
              <w:spacing w:before="0" w:after="0" w:line="240" w:lineRule="auto"/>
            </w:pPr>
            <w:r>
              <w:rPr>
                <w:sz w:val="16"/>
                <w:szCs w:val="16"/>
              </w:rPr>
              <w:t xml:space="preserve">Aplicarea modalităților de formatare și șablonizare a documentelor electronice ce compun modulele unei lucrări</w:t>
            </w:r>
          </w:p>
        </w:tc>
      </w:tr>
      <w:tr>
        <w:trPr>
          <w:cantSplit/>
        </w:trPr>
        <w:tc>
          <w:tcPr>
            <w:tcW w:w="1816" w:type="dxa"/>
            <w:vAlign w:val="top"/>
          </w:tcPr>
          <w:p>
            <w:pPr>
              <w:spacing w:before="0" w:after="0" w:line="240" w:lineRule="auto"/>
            </w:pPr>
            <w:r>
              <w:rPr>
                <w:sz w:val="16"/>
                <w:szCs w:val="16"/>
              </w:rPr>
              <w:t xml:space="preserve">1.5</w:t>
            </w:r>
          </w:p>
        </w:tc>
        <w:tc>
          <w:tcPr>
            <w:tcW w:w="13320" w:type="dxa"/>
            <w:vAlign w:val="top"/>
          </w:tcPr>
          <w:p>
            <w:pPr>
              <w:spacing w:before="0" w:after="0" w:line="240" w:lineRule="auto"/>
            </w:pPr>
            <w:r>
              <w:rPr>
                <w:sz w:val="16"/>
                <w:szCs w:val="16"/>
              </w:rPr>
              <w:t xml:space="preserve">Utilizarea obiectelor și a elementelor grafice în documente</w:t>
            </w:r>
          </w:p>
        </w:tc>
      </w:tr>
      <w:tr>
        <w:trPr>
          <w:cantSplit/>
        </w:trPr>
        <w:tc>
          <w:tcPr>
            <w:tcW w:w="1816" w:type="dxa"/>
            <w:vAlign w:val="top"/>
          </w:tcPr>
          <w:p>
            <w:pPr>
              <w:spacing w:before="0" w:after="0" w:line="240" w:lineRule="auto"/>
            </w:pPr>
            <w:r>
              <w:rPr>
                <w:sz w:val="16"/>
                <w:szCs w:val="16"/>
              </w:rPr>
              <w:t xml:space="preserve">2.1</w:t>
            </w:r>
          </w:p>
        </w:tc>
        <w:tc>
          <w:tcPr>
            <w:tcW w:w="13320" w:type="dxa"/>
            <w:vAlign w:val="top"/>
          </w:tcPr>
          <w:p>
            <w:pPr>
              <w:spacing w:before="0" w:after="0" w:line="240" w:lineRule="auto"/>
            </w:pPr>
            <w:r>
              <w:rPr>
                <w:sz w:val="16"/>
                <w:szCs w:val="16"/>
              </w:rPr>
              <w:t xml:space="preserve">Utilizarea avansată a procesorului de texte Word</w:t>
            </w:r>
          </w:p>
        </w:tc>
      </w:tr>
      <w:tr>
        <w:trPr>
          <w:cantSplit/>
        </w:trPr>
        <w:tc>
          <w:tcPr>
            <w:tcW w:w="1816" w:type="dxa"/>
            <w:vAlign w:val="top"/>
          </w:tcPr>
          <w:p>
            <w:pPr>
              <w:spacing w:before="0" w:after="0" w:line="240" w:lineRule="auto"/>
            </w:pPr>
            <w:r>
              <w:rPr>
                <w:sz w:val="16"/>
                <w:szCs w:val="16"/>
              </w:rPr>
              <w:t xml:space="preserve">2.2</w:t>
            </w:r>
          </w:p>
        </w:tc>
        <w:tc>
          <w:tcPr>
            <w:tcW w:w="13320" w:type="dxa"/>
            <w:vAlign w:val="top"/>
          </w:tcPr>
          <w:p>
            <w:pPr>
              <w:spacing w:before="0" w:after="0" w:line="240" w:lineRule="auto"/>
            </w:pPr>
            <w:r>
              <w:rPr>
                <w:sz w:val="16"/>
                <w:szCs w:val="16"/>
              </w:rPr>
              <w:t xml:space="preserve">Folosirea unui procesor de texte profesional (PageMaker sau QuarkXPress)</w:t>
            </w:r>
          </w:p>
        </w:tc>
      </w:tr>
      <w:tr>
        <w:trPr>
          <w:cantSplit/>
        </w:trPr>
        <w:tc>
          <w:tcPr>
            <w:tcW w:w="1816" w:type="dxa"/>
            <w:vAlign w:val="top"/>
          </w:tcPr>
          <w:p>
            <w:pPr>
              <w:spacing w:before="0" w:after="0" w:line="240" w:lineRule="auto"/>
            </w:pPr>
            <w:r>
              <w:rPr>
                <w:sz w:val="16"/>
                <w:szCs w:val="16"/>
              </w:rPr>
              <w:t xml:space="preserve">3.1</w:t>
            </w:r>
          </w:p>
        </w:tc>
        <w:tc>
          <w:tcPr>
            <w:tcW w:w="13320" w:type="dxa"/>
            <w:vAlign w:val="top"/>
          </w:tcPr>
          <w:p>
            <w:pPr>
              <w:spacing w:before="0" w:after="0" w:line="240" w:lineRule="auto"/>
            </w:pPr>
            <w:r>
              <w:rPr>
                <w:sz w:val="16"/>
                <w:szCs w:val="16"/>
              </w:rPr>
              <w:t xml:space="preserve">Realizarea unei reviste școlare</w:t>
            </w:r>
          </w:p>
        </w:tc>
      </w:tr>
      <w:tr>
        <w:trPr>
          <w:cantSplit/>
        </w:trPr>
        <w:tc>
          <w:tcPr>
            <w:tcW w:w="1816" w:type="dxa"/>
            <w:vAlign w:val="top"/>
          </w:tcPr>
          <w:p>
            <w:pPr>
              <w:spacing w:before="0" w:after="0" w:line="240" w:lineRule="auto"/>
            </w:pPr>
            <w:r>
              <w:rPr>
                <w:sz w:val="16"/>
                <w:szCs w:val="16"/>
              </w:rPr>
              <w:t xml:space="preserve">3.2</w:t>
            </w:r>
          </w:p>
        </w:tc>
        <w:tc>
          <w:tcPr>
            <w:tcW w:w="13320" w:type="dxa"/>
            <w:vAlign w:val="top"/>
          </w:tcPr>
          <w:p>
            <w:pPr>
              <w:spacing w:before="0" w:after="0" w:line="240" w:lineRule="auto"/>
            </w:pPr>
            <w:r>
              <w:rPr>
                <w:sz w:val="16"/>
                <w:szCs w:val="16"/>
              </w:rPr>
              <w:t xml:space="preserve">Realizarea unei cărți de format mic</w:t>
            </w:r>
          </w:p>
        </w:tc>
      </w:tr>
      <w:tr>
        <w:trPr>
          <w:cantSplit/>
        </w:trPr>
        <w:tc>
          <w:tcPr>
            <w:tcW w:w="1816" w:type="dxa"/>
            <w:vAlign w:val="top"/>
          </w:tcPr>
          <w:p>
            <w:pPr>
              <w:spacing w:before="0" w:after="0" w:line="240" w:lineRule="auto"/>
            </w:pPr>
            <w:r>
              <w:rPr>
                <w:sz w:val="16"/>
                <w:szCs w:val="16"/>
              </w:rPr>
              <w:t xml:space="preserve">3.3</w:t>
            </w:r>
          </w:p>
        </w:tc>
        <w:tc>
          <w:tcPr>
            <w:tcW w:w="13320" w:type="dxa"/>
            <w:vAlign w:val="top"/>
          </w:tcPr>
          <w:p>
            <w:pPr>
              <w:spacing w:before="0" w:after="0" w:line="240" w:lineRule="auto"/>
            </w:pPr>
            <w:r>
              <w:rPr>
                <w:sz w:val="16"/>
                <w:szCs w:val="16"/>
              </w:rPr>
              <w:t xml:space="preserve">Realizarea unui ziar</w:t>
            </w:r>
          </w:p>
        </w:tc>
      </w:tr>
    </w:tbl>
    <w:p>
      <w:pPr>
        <w:spacing w:before="0" w:after="0" w:line="240" w:lineRule="auto"/>
      </w:pPr>
      <w:r>
        <w:rPr>
          <w:sz w:val="12"/>
          <w:szCs w:val="12"/>
        </w:rPr>
        <w:t xml:space="preserve"/>
      </w:r>
    </w:p>
    <w:p>
      <w:pPr>
        <w:spacing w:before="0" w:after="120" w:line="240" w:lineRule="auto"/>
      </w:pPr>
      <w:r>
        <w:rPr>
          <w:sz w:val="18"/>
          <w:szCs w:val="18"/>
        </w:rPr>
        <w:t xml:space="preserve">Programa prevede că, dintre cele două procesoare de texte profesionale, se studiază obligatoriu unul singur, ales după resursele materiale ale unității de învățământ.</w:t>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