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200" w:line="240" w:lineRule="auto"/>
        <w:jc w:val="center"/>
      </w:pPr>
      <w:r>
        <w:rPr>
          <w:b/>
          <w:sz w:val="30"/>
          <w:szCs w:val="30"/>
        </w:rPr>
        <w:t xml:space="preserve">Planificare calendaristică: Informatică, clasa a XI-a</w:t>
      </w:r>
    </w:p>
    <w:p>
      <w:pPr>
        <w:spacing w:before="0" w:after="40" w:line="240" w:lineRule="auto"/>
      </w:pPr>
      <w:r>
        <w:rPr>
          <w:b/>
          <w:sz w:val="19"/>
          <w:szCs w:val="19"/>
        </w:rPr>
        <w:t xml:space="preserve">Unitatea de învățământ:</w:t>
      </w:r>
      <w:r>
        <w:rPr>
          <w:sz w:val="19"/>
          <w:szCs w:val="19"/>
        </w:rPr>
        <w:t xml:space="preserve"> …………………………………………………………………………</w:t>
      </w:r>
    </w:p>
    <w:p>
      <w:pPr>
        <w:spacing w:before="0" w:after="40" w:line="240" w:lineRule="auto"/>
      </w:pPr>
      <w:r>
        <w:rPr>
          <w:b/>
          <w:sz w:val="19"/>
          <w:szCs w:val="19"/>
        </w:rPr>
        <w:t xml:space="preserve">Profesor:</w:t>
      </w:r>
      <w:r>
        <w:rPr>
          <w:sz w:val="19"/>
          <w:szCs w:val="19"/>
        </w:rPr>
        <w:t xml:space="preserve"> …………………………………………………………………………</w:t>
      </w:r>
    </w:p>
    <w:p>
      <w:pPr>
        <w:spacing w:before="0" w:after="40" w:line="240" w:lineRule="auto"/>
      </w:pPr>
      <w:r>
        <w:rPr>
          <w:b/>
          <w:sz w:val="19"/>
          <w:szCs w:val="19"/>
        </w:rPr>
        <w:t xml:space="preserve">Disciplina:</w:t>
      </w:r>
      <w:r>
        <w:rPr>
          <w:sz w:val="19"/>
          <w:szCs w:val="19"/>
        </w:rPr>
        <w:t xml:space="preserve"> Informatică</w:t>
      </w:r>
    </w:p>
    <w:p>
      <w:pPr>
        <w:spacing w:before="0" w:after="40" w:line="240" w:lineRule="auto"/>
      </w:pPr>
      <w:r>
        <w:rPr>
          <w:b/>
          <w:sz w:val="19"/>
          <w:szCs w:val="19"/>
        </w:rPr>
        <w:t xml:space="preserve">Clasa:</w:t>
      </w:r>
      <w:r>
        <w:rPr>
          <w:sz w:val="19"/>
          <w:szCs w:val="19"/>
        </w:rPr>
        <w:t xml:space="preserve"> a XI-a</w:t>
      </w:r>
    </w:p>
    <w:p>
      <w:pPr>
        <w:spacing w:before="0" w:after="40" w:line="240" w:lineRule="auto"/>
      </w:pPr>
      <w:r>
        <w:rPr>
          <w:b/>
          <w:sz w:val="19"/>
          <w:szCs w:val="19"/>
        </w:rPr>
        <w:t xml:space="preserve">Filiera / profilul:</w:t>
      </w:r>
      <w:r>
        <w:rPr>
          <w:sz w:val="19"/>
          <w:szCs w:val="19"/>
        </w:rPr>
        <w:t xml:space="preserve"> Teoretică / real</w:t>
      </w:r>
    </w:p>
    <w:p>
      <w:pPr>
        <w:spacing w:before="0" w:after="40" w:line="240" w:lineRule="auto"/>
      </w:pPr>
      <w:r>
        <w:rPr>
          <w:b/>
          <w:sz w:val="19"/>
          <w:szCs w:val="19"/>
        </w:rPr>
        <w:t xml:space="preserve">Specializarea:</w:t>
      </w:r>
      <w:r>
        <w:rPr>
          <w:sz w:val="19"/>
          <w:szCs w:val="19"/>
        </w:rPr>
        <w:t xml:space="preserve"> Matematică-informatică (aceeași programă se aplică la profilul militar)</w:t>
      </w:r>
    </w:p>
    <w:p>
      <w:pPr>
        <w:spacing w:before="0" w:after="40" w:line="240" w:lineRule="auto"/>
      </w:pPr>
      <w:r>
        <w:rPr>
          <w:b/>
          <w:sz w:val="19"/>
          <w:szCs w:val="19"/>
        </w:rPr>
        <w:t xml:space="preserve">Nr. ore / săptămână:</w:t>
      </w:r>
      <w:r>
        <w:rPr>
          <w:sz w:val="19"/>
          <w:szCs w:val="19"/>
        </w:rPr>
        <w:t xml:space="preserve"> 4 ore</w:t>
      </w:r>
    </w:p>
    <w:p>
      <w:pPr>
        <w:spacing w:before="0" w:after="40" w:line="240" w:lineRule="auto"/>
      </w:pPr>
      <w:r>
        <w:rPr>
          <w:b/>
          <w:sz w:val="19"/>
          <w:szCs w:val="19"/>
        </w:rPr>
        <w:t xml:space="preserve">Total anual:</w:t>
      </w:r>
      <w:r>
        <w:rPr>
          <w:sz w:val="19"/>
          <w:szCs w:val="19"/>
        </w:rPr>
        <w:t xml:space="preserve"> 144 ore / 36 săptămâni</w:t>
      </w:r>
    </w:p>
    <w:p>
      <w:pPr>
        <w:spacing w:before="0" w:after="40" w:line="240" w:lineRule="auto"/>
      </w:pPr>
      <w:r>
        <w:rPr>
          <w:b/>
          <w:sz w:val="19"/>
          <w:szCs w:val="19"/>
        </w:rPr>
        <w:t xml:space="preserve">Programa școlară:</w:t>
      </w:r>
      <w:r>
        <w:rPr>
          <w:sz w:val="19"/>
          <w:szCs w:val="19"/>
        </w:rPr>
        <w:t xml:space="preserve"> OMECI nr. 5.099/09.09.2009</w:t>
      </w:r>
    </w:p>
    <w:p>
      <w:pPr>
        <w:spacing w:before="0" w:after="40" w:line="240" w:lineRule="auto"/>
      </w:pPr>
      <w:r>
        <w:rPr>
          <w:b/>
          <w:sz w:val="19"/>
          <w:szCs w:val="19"/>
        </w:rPr>
        <w:t xml:space="preserve">Plan-cadru:</w:t>
      </w:r>
      <w:r>
        <w:rPr>
          <w:sz w:val="19"/>
          <w:szCs w:val="19"/>
        </w:rPr>
        <w:t xml:space="preserve"> OMECI nr. 3.410/16.03.2009</w:t>
      </w:r>
    </w:p>
    <w:p>
      <w:pPr>
        <w:spacing w:before="0" w:after="40" w:line="240" w:lineRule="auto"/>
      </w:pPr>
      <w:r>
        <w:rPr>
          <w:b/>
          <w:sz w:val="19"/>
          <w:szCs w:val="19"/>
        </w:rPr>
        <w:t xml:space="preserve">Anul școlar:</w:t>
      </w:r>
      <w:r>
        <w:rPr>
          <w:sz w:val="19"/>
          <w:szCs w:val="19"/>
        </w:rPr>
        <w:t xml:space="preserve"> 2026–2027</w:t>
      </w:r>
    </w:p>
    <w:p>
      <w:pPr>
        <w:spacing w:before="0" w:after="160" w:line="240" w:lineRule="auto"/>
      </w:pPr>
      <w:r>
        <w:rPr>
          <w:b/>
          <w:sz w:val="17"/>
          <w:szCs w:val="17"/>
        </w:rPr>
        <w:t xml:space="preserve">Notă:</w:t>
      </w:r>
      <w:r>
        <w:rPr>
          <w:sz w:val="17"/>
          <w:szCs w:val="17"/>
        </w:rPr>
        <w:t xml:space="preserve"> Conținuturile și activitățile de învățare sunt preluate din programa școlară. Tablourile bidimensionale și metoda Divide et Impera se studiază în vederea corelării programei curente cu programa anterioară. Poziționarea perioadelor „Școala altfel” și „Săptămâna verde” este orientativă și va fi adaptată calendarului stabilit de unitatea de învățământ.</w:t>
      </w:r>
    </w:p>
    <w:p>
      <w:pPr>
        <w:pStyle w:val="Titlu1"/>
        <w:keepNext/>
        <w:spacing w:before="320" w:after="120"/>
      </w:pPr>
      <w:r>
        <w:rPr>
          <w:b/>
          <w:color w:val="1F4E79"/>
          <w:sz w:val="28"/>
          <w:szCs w:val="28"/>
        </w:rPr>
        <w:t xml:space="preserve">Distribuția anuală a conținuturilor</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11806"/>
        <w:gridCol w:w="3330"/>
      </w:tblGrid>
      <w:tr>
        <w:trPr>
          <w:cantSplit/>
          <w:tblHeader/>
        </w:trPr>
        <w:tc>
          <w:tcPr>
            <w:tcW w:w="11806" w:type="dxa"/>
            <w:shd w:val="clear" w:color="auto" w:fill="1F4E79"/>
            <w:vAlign w:val="top"/>
          </w:tcPr>
          <w:p>
            <w:pPr>
              <w:spacing w:before="0" w:after="0" w:line="240" w:lineRule="auto"/>
            </w:pPr>
            <w:r>
              <w:rPr>
                <w:b/>
                <w:color w:val="FFFFFF"/>
                <w:sz w:val="16"/>
                <w:szCs w:val="16"/>
              </w:rPr>
              <w:t xml:space="preserve">Unitate de învățare</w:t>
            </w:r>
          </w:p>
        </w:tc>
        <w:tc>
          <w:tcPr>
            <w:tcW w:w="3330" w:type="dxa"/>
            <w:shd w:val="clear" w:color="auto" w:fill="1F4E79"/>
            <w:vAlign w:val="top"/>
          </w:tcPr>
          <w:p>
            <w:pPr>
              <w:spacing w:before="0" w:after="0" w:line="240" w:lineRule="auto"/>
              <w:jc w:val="center"/>
            </w:pPr>
            <w:r>
              <w:rPr>
                <w:b/>
                <w:color w:val="FFFFFF"/>
                <w:sz w:val="16"/>
                <w:szCs w:val="16"/>
              </w:rPr>
              <w:t xml:space="preserve">Ore</w:t>
            </w:r>
          </w:p>
        </w:tc>
      </w:tr>
      <w:tr>
        <w:trPr>
          <w:cantSplit/>
        </w:trPr>
        <w:tc>
          <w:tcPr>
            <w:tcW w:w="11806" w:type="dxa"/>
            <w:vAlign w:val="top"/>
          </w:tcPr>
          <w:p>
            <w:pPr>
              <w:spacing w:before="0" w:after="0" w:line="240" w:lineRule="auto"/>
            </w:pPr>
            <w:r>
              <w:rPr>
                <w:sz w:val="16"/>
                <w:szCs w:val="16"/>
              </w:rPr>
              <w:t xml:space="preserve">Subprograme</w:t>
            </w:r>
          </w:p>
        </w:tc>
        <w:tc>
          <w:tcPr>
            <w:tcW w:w="3330" w:type="dxa"/>
            <w:vAlign w:val="top"/>
          </w:tcPr>
          <w:p>
            <w:pPr>
              <w:spacing w:before="0" w:after="0" w:line="240" w:lineRule="auto"/>
              <w:jc w:val="center"/>
            </w:pPr>
            <w:r>
              <w:rPr>
                <w:sz w:val="16"/>
                <w:szCs w:val="16"/>
              </w:rPr>
              <w:t xml:space="preserve">24</w:t>
            </w:r>
          </w:p>
        </w:tc>
      </w:tr>
      <w:tr>
        <w:trPr>
          <w:cantSplit/>
        </w:trPr>
        <w:tc>
          <w:tcPr>
            <w:tcW w:w="11806" w:type="dxa"/>
            <w:vAlign w:val="top"/>
          </w:tcPr>
          <w:p>
            <w:pPr>
              <w:spacing w:before="0" w:after="0" w:line="240" w:lineRule="auto"/>
            </w:pPr>
            <w:r>
              <w:rPr>
                <w:sz w:val="16"/>
                <w:szCs w:val="16"/>
              </w:rPr>
              <w:t xml:space="preserve">Recursivitate</w:t>
            </w:r>
          </w:p>
        </w:tc>
        <w:tc>
          <w:tcPr>
            <w:tcW w:w="3330" w:type="dxa"/>
            <w:vAlign w:val="top"/>
          </w:tcPr>
          <w:p>
            <w:pPr>
              <w:spacing w:before="0" w:after="0" w:line="240" w:lineRule="auto"/>
              <w:jc w:val="center"/>
            </w:pPr>
            <w:r>
              <w:rPr>
                <w:sz w:val="16"/>
                <w:szCs w:val="16"/>
              </w:rPr>
              <w:t xml:space="preserve">16</w:t>
            </w:r>
          </w:p>
        </w:tc>
      </w:tr>
      <w:tr>
        <w:trPr>
          <w:cantSplit/>
        </w:trPr>
        <w:tc>
          <w:tcPr>
            <w:tcW w:w="11806" w:type="dxa"/>
            <w:vAlign w:val="top"/>
          </w:tcPr>
          <w:p>
            <w:pPr>
              <w:spacing w:before="0" w:after="0" w:line="240" w:lineRule="auto"/>
            </w:pPr>
            <w:r>
              <w:rPr>
                <w:sz w:val="16"/>
                <w:szCs w:val="16"/>
              </w:rPr>
              <w:t xml:space="preserve">Tablouri bidimensionale</w:t>
            </w:r>
          </w:p>
        </w:tc>
        <w:tc>
          <w:tcPr>
            <w:tcW w:w="3330" w:type="dxa"/>
            <w:vAlign w:val="top"/>
          </w:tcPr>
          <w:p>
            <w:pPr>
              <w:spacing w:before="0" w:after="0" w:line="240" w:lineRule="auto"/>
              <w:jc w:val="center"/>
            </w:pPr>
            <w:r>
              <w:rPr>
                <w:sz w:val="16"/>
                <w:szCs w:val="16"/>
              </w:rPr>
              <w:t xml:space="preserve">8</w:t>
            </w:r>
          </w:p>
        </w:tc>
      </w:tr>
      <w:tr>
        <w:trPr>
          <w:cantSplit/>
        </w:trPr>
        <w:tc>
          <w:tcPr>
            <w:tcW w:w="11806" w:type="dxa"/>
            <w:vAlign w:val="top"/>
          </w:tcPr>
          <w:p>
            <w:pPr>
              <w:spacing w:before="0" w:after="0" w:line="240" w:lineRule="auto"/>
            </w:pPr>
            <w:r>
              <w:rPr>
                <w:sz w:val="16"/>
                <w:szCs w:val="16"/>
              </w:rPr>
              <w:t xml:space="preserve">Șiruri de caractere</w:t>
            </w:r>
          </w:p>
        </w:tc>
        <w:tc>
          <w:tcPr>
            <w:tcW w:w="3330" w:type="dxa"/>
            <w:vAlign w:val="top"/>
          </w:tcPr>
          <w:p>
            <w:pPr>
              <w:spacing w:before="0" w:after="0" w:line="240" w:lineRule="auto"/>
              <w:jc w:val="center"/>
            </w:pPr>
            <w:r>
              <w:rPr>
                <w:sz w:val="16"/>
                <w:szCs w:val="16"/>
              </w:rPr>
              <w:t xml:space="preserve">16</w:t>
            </w:r>
          </w:p>
        </w:tc>
      </w:tr>
      <w:tr>
        <w:trPr>
          <w:cantSplit/>
        </w:trPr>
        <w:tc>
          <w:tcPr>
            <w:tcW w:w="11806" w:type="dxa"/>
            <w:vAlign w:val="top"/>
          </w:tcPr>
          <w:p>
            <w:pPr>
              <w:spacing w:before="0" w:after="0" w:line="240" w:lineRule="auto"/>
            </w:pPr>
            <w:r>
              <w:rPr>
                <w:sz w:val="16"/>
                <w:szCs w:val="16"/>
              </w:rPr>
              <w:t xml:space="preserve">Structuri de date neomogene (struct/record)</w:t>
            </w:r>
          </w:p>
        </w:tc>
        <w:tc>
          <w:tcPr>
            <w:tcW w:w="3330" w:type="dxa"/>
            <w:vAlign w:val="top"/>
          </w:tcPr>
          <w:p>
            <w:pPr>
              <w:spacing w:before="0" w:after="0" w:line="240" w:lineRule="auto"/>
              <w:jc w:val="center"/>
            </w:pPr>
            <w:r>
              <w:rPr>
                <w:sz w:val="16"/>
                <w:szCs w:val="16"/>
              </w:rPr>
              <w:t xml:space="preserve">12</w:t>
            </w:r>
          </w:p>
        </w:tc>
      </w:tr>
      <w:tr>
        <w:trPr>
          <w:cantSplit/>
        </w:trPr>
        <w:tc>
          <w:tcPr>
            <w:tcW w:w="11806" w:type="dxa"/>
            <w:vAlign w:val="top"/>
          </w:tcPr>
          <w:p>
            <w:pPr>
              <w:spacing w:before="0" w:after="0" w:line="240" w:lineRule="auto"/>
            </w:pPr>
            <w:r>
              <w:rPr>
                <w:sz w:val="16"/>
                <w:szCs w:val="16"/>
              </w:rPr>
              <w:t xml:space="preserve">Liste</w:t>
            </w:r>
          </w:p>
        </w:tc>
        <w:tc>
          <w:tcPr>
            <w:tcW w:w="3330" w:type="dxa"/>
            <w:vAlign w:val="top"/>
          </w:tcPr>
          <w:p>
            <w:pPr>
              <w:spacing w:before="0" w:after="0" w:line="240" w:lineRule="auto"/>
              <w:jc w:val="center"/>
            </w:pPr>
            <w:r>
              <w:rPr>
                <w:sz w:val="16"/>
                <w:szCs w:val="16"/>
              </w:rPr>
              <w:t xml:space="preserve">16</w:t>
            </w:r>
          </w:p>
        </w:tc>
      </w:tr>
      <w:tr>
        <w:trPr>
          <w:cantSplit/>
        </w:trPr>
        <w:tc>
          <w:tcPr>
            <w:tcW w:w="11806" w:type="dxa"/>
            <w:vAlign w:val="top"/>
          </w:tcPr>
          <w:p>
            <w:pPr>
              <w:spacing w:before="0" w:after="0" w:line="240" w:lineRule="auto"/>
            </w:pPr>
            <w:r>
              <w:rPr>
                <w:sz w:val="16"/>
                <w:szCs w:val="16"/>
              </w:rPr>
              <w:t xml:space="preserve">Grafuri orientate și neorientate</w:t>
            </w:r>
          </w:p>
        </w:tc>
        <w:tc>
          <w:tcPr>
            <w:tcW w:w="3330" w:type="dxa"/>
            <w:vAlign w:val="top"/>
          </w:tcPr>
          <w:p>
            <w:pPr>
              <w:spacing w:before="0" w:after="0" w:line="240" w:lineRule="auto"/>
              <w:jc w:val="center"/>
            </w:pPr>
            <w:r>
              <w:rPr>
                <w:sz w:val="16"/>
                <w:szCs w:val="16"/>
              </w:rPr>
              <w:t xml:space="preserve">24</w:t>
            </w:r>
          </w:p>
        </w:tc>
      </w:tr>
      <w:tr>
        <w:trPr>
          <w:cantSplit/>
        </w:trPr>
        <w:tc>
          <w:tcPr>
            <w:tcW w:w="11806" w:type="dxa"/>
            <w:vAlign w:val="top"/>
          </w:tcPr>
          <w:p>
            <w:pPr>
              <w:spacing w:before="0" w:after="0" w:line="240" w:lineRule="auto"/>
            </w:pPr>
            <w:r>
              <w:rPr>
                <w:sz w:val="16"/>
                <w:szCs w:val="16"/>
              </w:rPr>
              <w:t xml:space="preserve">Metoda de programare Divide et Impera</w:t>
            </w:r>
          </w:p>
        </w:tc>
        <w:tc>
          <w:tcPr>
            <w:tcW w:w="3330" w:type="dxa"/>
            <w:vAlign w:val="top"/>
          </w:tcPr>
          <w:p>
            <w:pPr>
              <w:spacing w:before="0" w:after="0" w:line="240" w:lineRule="auto"/>
              <w:jc w:val="center"/>
            </w:pPr>
            <w:r>
              <w:rPr>
                <w:sz w:val="16"/>
                <w:szCs w:val="16"/>
              </w:rPr>
              <w:t xml:space="preserve">4</w:t>
            </w:r>
          </w:p>
        </w:tc>
      </w:tr>
      <w:tr>
        <w:trPr>
          <w:cantSplit/>
        </w:trPr>
        <w:tc>
          <w:tcPr>
            <w:tcW w:w="11806" w:type="dxa"/>
            <w:vAlign w:val="top"/>
          </w:tcPr>
          <w:p>
            <w:pPr>
              <w:spacing w:before="0" w:after="0" w:line="240" w:lineRule="auto"/>
            </w:pPr>
            <w:r>
              <w:rPr>
                <w:sz w:val="16"/>
                <w:szCs w:val="16"/>
              </w:rPr>
              <w:t xml:space="preserve">Metoda de programare Backtracking</w:t>
            </w:r>
          </w:p>
        </w:tc>
        <w:tc>
          <w:tcPr>
            <w:tcW w:w="3330" w:type="dxa"/>
            <w:vAlign w:val="top"/>
          </w:tcPr>
          <w:p>
            <w:pPr>
              <w:spacing w:before="0" w:after="0" w:line="240" w:lineRule="auto"/>
              <w:jc w:val="center"/>
            </w:pPr>
            <w:r>
              <w:rPr>
                <w:sz w:val="16"/>
                <w:szCs w:val="16"/>
              </w:rPr>
              <w:t xml:space="preserve">12</w:t>
            </w:r>
          </w:p>
        </w:tc>
      </w:tr>
      <w:tr>
        <w:trPr>
          <w:cantSplit/>
        </w:trPr>
        <w:tc>
          <w:tcPr>
            <w:tcW w:w="11806" w:type="dxa"/>
            <w:vAlign w:val="top"/>
          </w:tcPr>
          <w:p>
            <w:pPr>
              <w:spacing w:before="0" w:after="0" w:line="240" w:lineRule="auto"/>
            </w:pPr>
            <w:r>
              <w:rPr>
                <w:sz w:val="16"/>
                <w:szCs w:val="16"/>
              </w:rPr>
              <w:t xml:space="preserve">Evaluare inițială</w:t>
            </w:r>
          </w:p>
        </w:tc>
        <w:tc>
          <w:tcPr>
            <w:tcW w:w="3330" w:type="dxa"/>
            <w:vAlign w:val="top"/>
          </w:tcPr>
          <w:p>
            <w:pPr>
              <w:spacing w:before="0" w:after="0" w:line="240" w:lineRule="auto"/>
              <w:jc w:val="center"/>
            </w:pPr>
            <w:r>
              <w:rPr>
                <w:sz w:val="16"/>
                <w:szCs w:val="16"/>
              </w:rPr>
              <w:t xml:space="preserve">4</w:t>
            </w:r>
          </w:p>
        </w:tc>
      </w:tr>
      <w:tr>
        <w:trPr>
          <w:cantSplit/>
        </w:trPr>
        <w:tc>
          <w:tcPr>
            <w:tcW w:w="11806" w:type="dxa"/>
            <w:vAlign w:val="top"/>
          </w:tcPr>
          <w:p>
            <w:pPr>
              <w:spacing w:before="0" w:after="0" w:line="240" w:lineRule="auto"/>
            </w:pPr>
            <w:r>
              <w:rPr>
                <w:sz w:val="16"/>
                <w:szCs w:val="16"/>
              </w:rPr>
              <w:t xml:space="preserve">Școala altfel + Săptămâna verde</w:t>
            </w:r>
          </w:p>
        </w:tc>
        <w:tc>
          <w:tcPr>
            <w:tcW w:w="3330" w:type="dxa"/>
            <w:vAlign w:val="top"/>
          </w:tcPr>
          <w:p>
            <w:pPr>
              <w:spacing w:before="0" w:after="0" w:line="240" w:lineRule="auto"/>
              <w:jc w:val="center"/>
            </w:pPr>
            <w:r>
              <w:rPr>
                <w:sz w:val="16"/>
                <w:szCs w:val="16"/>
              </w:rPr>
              <w:t xml:space="preserve">8</w:t>
            </w:r>
          </w:p>
        </w:tc>
      </w:tr>
      <w:tr>
        <w:trPr>
          <w:cantSplit/>
        </w:trPr>
        <w:tc>
          <w:tcPr>
            <w:tcW w:w="11806" w:type="dxa"/>
            <w:vAlign w:val="top"/>
          </w:tcPr>
          <w:p>
            <w:pPr>
              <w:spacing w:before="0" w:after="0" w:line="240" w:lineRule="auto"/>
            </w:pPr>
            <w:r>
              <w:rPr>
                <w:b/>
                <w:sz w:val="16"/>
                <w:szCs w:val="16"/>
              </w:rPr>
              <w:t xml:space="preserve">TOTAL</w:t>
            </w:r>
          </w:p>
        </w:tc>
        <w:tc>
          <w:tcPr>
            <w:tcW w:w="3330" w:type="dxa"/>
            <w:vAlign w:val="top"/>
          </w:tcPr>
          <w:p>
            <w:pPr>
              <w:spacing w:before="0" w:after="0" w:line="240" w:lineRule="auto"/>
              <w:jc w:val="center"/>
            </w:pPr>
            <w:r>
              <w:rPr>
                <w:b/>
                <w:sz w:val="16"/>
                <w:szCs w:val="16"/>
              </w:rPr>
              <w:t xml:space="preserve">144</w:t>
            </w:r>
          </w:p>
        </w:tc>
      </w:tr>
    </w:tbl>
    <w:p>
      <w:pPr>
        <w:spacing w:before="0" w:after="0" w:line="240" w:lineRule="auto"/>
      </w:pPr>
      <w:r>
        <w:rPr>
          <w:sz w:val="12"/>
          <w:szCs w:val="12"/>
        </w:rPr>
        <w:t xml:space="preserve"/>
      </w:r>
    </w:p>
    <w:p>
      <w:pPr>
        <w:pStyle w:val="Titlu1"/>
        <w:keepNext/>
        <w:spacing w:before="320" w:after="120"/>
      </w:pPr>
      <w:r>
        <w:rPr>
          <w:b/>
          <w:color w:val="1F4E79"/>
          <w:sz w:val="28"/>
          <w:szCs w:val="28"/>
        </w:rPr>
        <w:t xml:space="preserve">Planificarea pe module</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832"/>
        <w:gridCol w:w="2573"/>
        <w:gridCol w:w="1665"/>
        <w:gridCol w:w="7190"/>
        <w:gridCol w:w="832"/>
        <w:gridCol w:w="1060"/>
        <w:gridCol w:w="984"/>
      </w:tblGrid>
      <w:tr>
        <w:trPr>
          <w:cantSplit/>
          <w:tblHeader/>
        </w:trPr>
        <w:tc>
          <w:tcPr>
            <w:tcW w:w="832" w:type="dxa"/>
            <w:shd w:val="clear" w:color="auto" w:fill="1F4E79"/>
            <w:vAlign w:val="top"/>
          </w:tcPr>
          <w:p>
            <w:pPr>
              <w:spacing w:before="0" w:after="0" w:line="240" w:lineRule="auto"/>
            </w:pPr>
            <w:r>
              <w:rPr>
                <w:b/>
                <w:color w:val="FFFFFF"/>
                <w:sz w:val="16"/>
                <w:szCs w:val="16"/>
              </w:rPr>
              <w:t xml:space="preserve">Modul</w:t>
            </w:r>
          </w:p>
        </w:tc>
        <w:tc>
          <w:tcPr>
            <w:tcW w:w="2573" w:type="dxa"/>
            <w:shd w:val="clear" w:color="auto" w:fill="1F4E79"/>
            <w:vAlign w:val="top"/>
          </w:tcPr>
          <w:p>
            <w:pPr>
              <w:spacing w:before="0" w:after="0" w:line="240" w:lineRule="auto"/>
            </w:pPr>
            <w:r>
              <w:rPr>
                <w:b/>
                <w:color w:val="FFFFFF"/>
                <w:sz w:val="16"/>
                <w:szCs w:val="16"/>
              </w:rPr>
              <w:t xml:space="preserve">Unitatea de învățare</w:t>
            </w:r>
          </w:p>
        </w:tc>
        <w:tc>
          <w:tcPr>
            <w:tcW w:w="1665" w:type="dxa"/>
            <w:shd w:val="clear" w:color="auto" w:fill="1F4E79"/>
            <w:vAlign w:val="top"/>
          </w:tcPr>
          <w:p>
            <w:pPr>
              <w:spacing w:before="0" w:after="0" w:line="240" w:lineRule="auto"/>
              <w:jc w:val="center"/>
            </w:pPr>
            <w:r>
              <w:rPr>
                <w:b/>
                <w:color w:val="FFFFFF"/>
                <w:sz w:val="16"/>
                <w:szCs w:val="16"/>
              </w:rPr>
              <w:t xml:space="preserve">Competențe specifice</w:t>
            </w:r>
          </w:p>
        </w:tc>
        <w:tc>
          <w:tcPr>
            <w:tcW w:w="7190" w:type="dxa"/>
            <w:shd w:val="clear" w:color="auto" w:fill="1F4E79"/>
            <w:vAlign w:val="top"/>
          </w:tcPr>
          <w:p>
            <w:pPr>
              <w:spacing w:before="0" w:after="0" w:line="240" w:lineRule="auto"/>
            </w:pPr>
            <w:r>
              <w:rPr>
                <w:b/>
                <w:color w:val="FFFFFF"/>
                <w:sz w:val="16"/>
                <w:szCs w:val="16"/>
              </w:rPr>
              <w:t xml:space="preserve">Conținuturi și activități de învățare</w:t>
            </w:r>
          </w:p>
        </w:tc>
        <w:tc>
          <w:tcPr>
            <w:tcW w:w="832" w:type="dxa"/>
            <w:shd w:val="clear" w:color="auto" w:fill="1F4E79"/>
            <w:vAlign w:val="top"/>
          </w:tcPr>
          <w:p>
            <w:pPr>
              <w:spacing w:before="0" w:after="0" w:line="240" w:lineRule="auto"/>
              <w:jc w:val="center"/>
            </w:pPr>
            <w:r>
              <w:rPr>
                <w:b/>
                <w:color w:val="FFFFFF"/>
                <w:sz w:val="16"/>
                <w:szCs w:val="16"/>
              </w:rPr>
              <w:t xml:space="preserve">Ore</w:t>
            </w:r>
          </w:p>
        </w:tc>
        <w:tc>
          <w:tcPr>
            <w:tcW w:w="1060" w:type="dxa"/>
            <w:shd w:val="clear" w:color="auto" w:fill="1F4E79"/>
            <w:vAlign w:val="top"/>
          </w:tcPr>
          <w:p>
            <w:pPr>
              <w:spacing w:before="0" w:after="0" w:line="240" w:lineRule="auto"/>
              <w:jc w:val="center"/>
            </w:pPr>
            <w:r>
              <w:rPr>
                <w:b/>
                <w:color w:val="FFFFFF"/>
                <w:sz w:val="16"/>
                <w:szCs w:val="16"/>
              </w:rPr>
              <w:t xml:space="preserve">Săpt.</w:t>
            </w:r>
          </w:p>
        </w:tc>
        <w:tc>
          <w:tcPr>
            <w:tcW w:w="984" w:type="dxa"/>
            <w:shd w:val="clear" w:color="auto" w:fill="1F4E79"/>
            <w:vAlign w:val="top"/>
          </w:tcPr>
          <w:p>
            <w:pPr>
              <w:spacing w:before="0" w:after="0" w:line="240" w:lineRule="auto"/>
              <w:jc w:val="center"/>
            </w:pPr>
            <w:r>
              <w:rPr>
                <w:b/>
                <w:color w:val="FFFFFF"/>
                <w:sz w:val="16"/>
                <w:szCs w:val="16"/>
              </w:rPr>
              <w:t xml:space="preserve">Obs.</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Evaluare inițială</w:t>
            </w:r>
          </w:p>
        </w:tc>
        <w:tc>
          <w:tcPr>
            <w:tcW w:w="1665" w:type="dxa"/>
            <w:vAlign w:val="top"/>
          </w:tcPr>
          <w:p>
            <w:pPr>
              <w:spacing w:before="0" w:after="0" w:line="240" w:lineRule="auto"/>
              <w:jc w:val="center"/>
            </w:pPr>
            <w:r>
              <w:rPr>
                <w:sz w:val="16"/>
                <w:szCs w:val="16"/>
              </w:rPr>
              <w:t xml:space="preserve">1.1, 3.2</w:t>
            </w:r>
          </w:p>
        </w:tc>
        <w:tc>
          <w:tcPr>
            <w:tcW w:w="7190" w:type="dxa"/>
            <w:vAlign w:val="top"/>
          </w:tcPr>
          <w:p>
            <w:pPr>
              <w:spacing w:before="0" w:after="0" w:line="240" w:lineRule="auto"/>
            </w:pPr>
            <w:r>
              <w:rPr>
                <w:sz w:val="16"/>
                <w:szCs w:val="16"/>
              </w:rPr>
              <w:t xml:space="preserve">Evaluare predictivă. Descompunerea rezolvării unei probleme în subprobleme.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Subprograme</w:t>
            </w:r>
          </w:p>
        </w:tc>
        <w:tc>
          <w:tcPr>
            <w:tcW w:w="1665" w:type="dxa"/>
            <w:vAlign w:val="top"/>
          </w:tcPr>
          <w:p>
            <w:pPr>
              <w:spacing w:before="0" w:after="0" w:line="240" w:lineRule="auto"/>
              <w:jc w:val="center"/>
            </w:pPr>
            <w:r>
              <w:rPr>
                <w:sz w:val="16"/>
                <w:szCs w:val="16"/>
              </w:rPr>
              <w:t xml:space="preserve">3.1, 3.2</w:t>
            </w:r>
          </w:p>
        </w:tc>
        <w:tc>
          <w:tcPr>
            <w:tcW w:w="7190" w:type="dxa"/>
            <w:vAlign w:val="top"/>
          </w:tcPr>
          <w:p>
            <w:pPr>
              <w:spacing w:before="0" w:after="0" w:line="240" w:lineRule="auto"/>
            </w:pPr>
            <w:r>
              <w:rPr>
                <w:sz w:val="16"/>
                <w:szCs w:val="16"/>
              </w:rPr>
              <w:t xml:space="preserve">Structura și modul de definire al subprogramelor. Recunoașterea situațiilor în care este necesară utilizarea unor subprograme.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Subprograme</w:t>
            </w:r>
          </w:p>
        </w:tc>
        <w:tc>
          <w:tcPr>
            <w:tcW w:w="1665" w:type="dxa"/>
            <w:vAlign w:val="top"/>
          </w:tcPr>
          <w:p>
            <w:pPr>
              <w:spacing w:before="0" w:after="0" w:line="240" w:lineRule="auto"/>
              <w:jc w:val="center"/>
            </w:pPr>
            <w:r>
              <w:rPr>
                <w:sz w:val="16"/>
                <w:szCs w:val="16"/>
              </w:rPr>
              <w:t xml:space="preserve">3.3</w:t>
            </w:r>
          </w:p>
        </w:tc>
        <w:tc>
          <w:tcPr>
            <w:tcW w:w="7190" w:type="dxa"/>
            <w:vAlign w:val="top"/>
          </w:tcPr>
          <w:p>
            <w:pPr>
              <w:spacing w:before="0" w:after="0" w:line="240" w:lineRule="auto"/>
            </w:pPr>
            <w:r>
              <w:rPr>
                <w:sz w:val="16"/>
                <w:szCs w:val="16"/>
              </w:rPr>
              <w:t xml:space="preserve">Declararea și apelul subprogramelor. Exersarea definirii și apelării unor subprograme.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Subprograme</w:t>
            </w:r>
          </w:p>
        </w:tc>
        <w:tc>
          <w:tcPr>
            <w:tcW w:w="1665" w:type="dxa"/>
            <w:vAlign w:val="top"/>
          </w:tcPr>
          <w:p>
            <w:pPr>
              <w:spacing w:before="0" w:after="0" w:line="240" w:lineRule="auto"/>
              <w:jc w:val="center"/>
            </w:pPr>
            <w:r>
              <w:rPr>
                <w:sz w:val="16"/>
                <w:szCs w:val="16"/>
              </w:rPr>
              <w:t xml:space="preserve">3.3</w:t>
            </w:r>
          </w:p>
        </w:tc>
        <w:tc>
          <w:tcPr>
            <w:tcW w:w="7190" w:type="dxa"/>
            <w:vAlign w:val="top"/>
          </w:tcPr>
          <w:p>
            <w:pPr>
              <w:spacing w:before="0" w:after="0" w:line="240" w:lineRule="auto"/>
            </w:pPr>
            <w:r>
              <w:rPr>
                <w:sz w:val="16"/>
                <w:szCs w:val="16"/>
              </w:rPr>
              <w:t xml:space="preserve">Transferul parametrilor la apel (prin valoare și referință).</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Subprograme</w:t>
            </w:r>
          </w:p>
        </w:tc>
        <w:tc>
          <w:tcPr>
            <w:tcW w:w="1665" w:type="dxa"/>
            <w:vAlign w:val="top"/>
          </w:tcPr>
          <w:p>
            <w:pPr>
              <w:spacing w:before="0" w:after="0" w:line="240" w:lineRule="auto"/>
              <w:jc w:val="center"/>
            </w:pPr>
            <w:r>
              <w:rPr>
                <w:sz w:val="16"/>
                <w:szCs w:val="16"/>
              </w:rPr>
              <w:t xml:space="preserve">3.3</w:t>
            </w:r>
          </w:p>
        </w:tc>
        <w:tc>
          <w:tcPr>
            <w:tcW w:w="7190" w:type="dxa"/>
            <w:vAlign w:val="top"/>
          </w:tcPr>
          <w:p>
            <w:pPr>
              <w:spacing w:before="0" w:after="0" w:line="240" w:lineRule="auto"/>
            </w:pPr>
            <w:r>
              <w:rPr>
                <w:sz w:val="16"/>
                <w:szCs w:val="16"/>
              </w:rPr>
              <w:t xml:space="preserve">Returnarea valorilor de către subprograme. Variabile locale și globale.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Subprograme</w:t>
            </w:r>
          </w:p>
        </w:tc>
        <w:tc>
          <w:tcPr>
            <w:tcW w:w="1665" w:type="dxa"/>
            <w:vAlign w:val="top"/>
          </w:tcPr>
          <w:p>
            <w:pPr>
              <w:spacing w:before="0" w:after="0" w:line="240" w:lineRule="auto"/>
              <w:jc w:val="center"/>
            </w:pPr>
            <w:r>
              <w:rPr>
                <w:sz w:val="16"/>
                <w:szCs w:val="16"/>
              </w:rPr>
              <w:t xml:space="preserve">3.2, 3.3</w:t>
            </w:r>
          </w:p>
        </w:tc>
        <w:tc>
          <w:tcPr>
            <w:tcW w:w="7190" w:type="dxa"/>
            <w:vAlign w:val="top"/>
          </w:tcPr>
          <w:p>
            <w:pPr>
              <w:spacing w:before="0" w:after="0" w:line="240" w:lineRule="auto"/>
            </w:pPr>
            <w:r>
              <w:rPr>
                <w:sz w:val="16"/>
                <w:szCs w:val="16"/>
              </w:rPr>
              <w:t xml:space="preserve">Aplicații folosind subprograme. Analiza problemei în scopul identificării subproblemelor acesteia.</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Subprograme</w:t>
            </w:r>
          </w:p>
        </w:tc>
        <w:tc>
          <w:tcPr>
            <w:tcW w:w="1665" w:type="dxa"/>
            <w:vAlign w:val="top"/>
          </w:tcPr>
          <w:p>
            <w:pPr>
              <w:spacing w:before="0" w:after="0" w:line="240" w:lineRule="auto"/>
              <w:jc w:val="center"/>
            </w:pPr>
            <w:r>
              <w:rPr>
                <w:sz w:val="16"/>
                <w:szCs w:val="16"/>
              </w:rPr>
              <w:t xml:space="preserve">3.3, 2.3</w:t>
            </w:r>
          </w:p>
        </w:tc>
        <w:tc>
          <w:tcPr>
            <w:tcW w:w="7190" w:type="dxa"/>
            <w:vAlign w:val="top"/>
          </w:tcPr>
          <w:p>
            <w:pPr>
              <w:spacing w:before="0" w:after="0" w:line="240" w:lineRule="auto"/>
            </w:pPr>
            <w:r>
              <w:rPr>
                <w:sz w:val="16"/>
                <w:szCs w:val="16"/>
              </w:rPr>
              <w:t xml:space="preserve">Aplicații folosind subprograme. Proiectarea modulară a rezolvării unei probleme.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S7</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Recursivitate</w:t>
            </w:r>
          </w:p>
        </w:tc>
        <w:tc>
          <w:tcPr>
            <w:tcW w:w="1665" w:type="dxa"/>
            <w:vAlign w:val="top"/>
          </w:tcPr>
          <w:p>
            <w:pPr>
              <w:spacing w:before="0" w:after="0" w:line="240" w:lineRule="auto"/>
              <w:jc w:val="center"/>
            </w:pPr>
            <w:r>
              <w:rPr>
                <w:sz w:val="16"/>
                <w:szCs w:val="16"/>
              </w:rPr>
              <w:t xml:space="preserve">3.4</w:t>
            </w:r>
          </w:p>
        </w:tc>
        <w:tc>
          <w:tcPr>
            <w:tcW w:w="7190" w:type="dxa"/>
            <w:vAlign w:val="top"/>
          </w:tcPr>
          <w:p>
            <w:pPr>
              <w:spacing w:before="0" w:after="0" w:line="240" w:lineRule="auto"/>
            </w:pPr>
            <w:r>
              <w:rPr>
                <w:sz w:val="16"/>
                <w:szCs w:val="16"/>
              </w:rPr>
              <w:t xml:space="preserve">Definire. Exemplificare. Descrierea și aplicarea mecanismului recursivității.</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Recursivitate</w:t>
            </w:r>
          </w:p>
        </w:tc>
        <w:tc>
          <w:tcPr>
            <w:tcW w:w="1665" w:type="dxa"/>
            <w:vAlign w:val="top"/>
          </w:tcPr>
          <w:p>
            <w:pPr>
              <w:spacing w:before="0" w:after="0" w:line="240" w:lineRule="auto"/>
              <w:jc w:val="center"/>
            </w:pPr>
            <w:r>
              <w:rPr>
                <w:sz w:val="16"/>
                <w:szCs w:val="16"/>
              </w:rPr>
              <w:t xml:space="preserve">3.4</w:t>
            </w:r>
          </w:p>
        </w:tc>
        <w:tc>
          <w:tcPr>
            <w:tcW w:w="7190" w:type="dxa"/>
            <w:vAlign w:val="top"/>
          </w:tcPr>
          <w:p>
            <w:pPr>
              <w:spacing w:before="0" w:after="0" w:line="240" w:lineRule="auto"/>
            </w:pPr>
            <w:r>
              <w:rPr>
                <w:sz w:val="16"/>
                <w:szCs w:val="16"/>
              </w:rPr>
              <w:t xml:space="preserve">Mecanisme de implementare. Urmărirea apelurilor recursive.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S9</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Recursivitate</w:t>
            </w:r>
          </w:p>
        </w:tc>
        <w:tc>
          <w:tcPr>
            <w:tcW w:w="1665" w:type="dxa"/>
            <w:vAlign w:val="top"/>
          </w:tcPr>
          <w:p>
            <w:pPr>
              <w:spacing w:before="0" w:after="0" w:line="240" w:lineRule="auto"/>
              <w:jc w:val="center"/>
            </w:pPr>
            <w:r>
              <w:rPr>
                <w:sz w:val="16"/>
                <w:szCs w:val="16"/>
              </w:rPr>
              <w:t xml:space="preserve">3.4, 3.5</w:t>
            </w:r>
          </w:p>
        </w:tc>
        <w:tc>
          <w:tcPr>
            <w:tcW w:w="7190" w:type="dxa"/>
            <w:vAlign w:val="top"/>
          </w:tcPr>
          <w:p>
            <w:pPr>
              <w:spacing w:before="0" w:after="0" w:line="240" w:lineRule="auto"/>
            </w:pPr>
            <w:r>
              <w:rPr>
                <w:sz w:val="16"/>
                <w:szCs w:val="16"/>
              </w:rPr>
              <w:t xml:space="preserve">Aplicații cu subprograme recursive.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Recursivitate</w:t>
            </w:r>
          </w:p>
        </w:tc>
        <w:tc>
          <w:tcPr>
            <w:tcW w:w="1665" w:type="dxa"/>
            <w:vAlign w:val="top"/>
          </w:tcPr>
          <w:p>
            <w:pPr>
              <w:spacing w:before="0" w:after="0" w:line="240" w:lineRule="auto"/>
              <w:jc w:val="center"/>
            </w:pPr>
            <w:r>
              <w:rPr>
                <w:sz w:val="16"/>
                <w:szCs w:val="16"/>
              </w:rPr>
              <w:t xml:space="preserve">3.5</w:t>
            </w:r>
          </w:p>
        </w:tc>
        <w:tc>
          <w:tcPr>
            <w:tcW w:w="7190" w:type="dxa"/>
            <w:vAlign w:val="top"/>
          </w:tcPr>
          <w:p>
            <w:pPr>
              <w:spacing w:before="0" w:after="0" w:line="240" w:lineRule="auto"/>
            </w:pPr>
            <w:r>
              <w:rPr>
                <w:sz w:val="16"/>
                <w:szCs w:val="16"/>
              </w:rPr>
              <w:t xml:space="preserve">Identificarea avantajelor și a dezavantajelor aplicării tehnicii recursive în implementarea unor rezolvări.</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S11</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Tablouri bidimensionale</w:t>
            </w:r>
          </w:p>
        </w:tc>
        <w:tc>
          <w:tcPr>
            <w:tcW w:w="1665" w:type="dxa"/>
            <w:vAlign w:val="top"/>
          </w:tcPr>
          <w:p>
            <w:pPr>
              <w:spacing w:before="0" w:after="0" w:line="240" w:lineRule="auto"/>
              <w:jc w:val="center"/>
            </w:pPr>
            <w:r>
              <w:rPr>
                <w:sz w:val="16"/>
                <w:szCs w:val="16"/>
              </w:rPr>
              <w:t xml:space="preserve">1.1, 1.2</w:t>
            </w:r>
          </w:p>
        </w:tc>
        <w:tc>
          <w:tcPr>
            <w:tcW w:w="7190" w:type="dxa"/>
            <w:vAlign w:val="top"/>
          </w:tcPr>
          <w:p>
            <w:pPr>
              <w:spacing w:before="0" w:after="0" w:line="240" w:lineRule="auto"/>
            </w:pPr>
            <w:r>
              <w:rPr>
                <w:sz w:val="16"/>
                <w:szCs w:val="16"/>
              </w:rPr>
              <w:t xml:space="preserve">Tablouri bidimensionale. Corelarea cu programa anterioară.</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Tablouri bidimensionale</w:t>
            </w:r>
          </w:p>
        </w:tc>
        <w:tc>
          <w:tcPr>
            <w:tcW w:w="1665" w:type="dxa"/>
            <w:vAlign w:val="top"/>
          </w:tcPr>
          <w:p>
            <w:pPr>
              <w:spacing w:before="0" w:after="0" w:line="240" w:lineRule="auto"/>
              <w:jc w:val="center"/>
            </w:pPr>
            <w:r>
              <w:rPr>
                <w:sz w:val="16"/>
                <w:szCs w:val="16"/>
              </w:rPr>
              <w:t xml:space="preserve">1.2, 2.3</w:t>
            </w:r>
          </w:p>
        </w:tc>
        <w:tc>
          <w:tcPr>
            <w:tcW w:w="7190" w:type="dxa"/>
            <w:vAlign w:val="top"/>
          </w:tcPr>
          <w:p>
            <w:pPr>
              <w:spacing w:before="0" w:after="0" w:line="240" w:lineRule="auto"/>
            </w:pPr>
            <w:r>
              <w:rPr>
                <w:sz w:val="16"/>
                <w:szCs w:val="16"/>
              </w:rPr>
              <w:t xml:space="preserve">Tablouri bidimensionale. Rezolvarea unor probleme cu caracter practic.</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Școala altfel</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Activitate stabilită de unitatea de învățământ: modelarea unor situații practice în limbaj algoritmic.</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S14</w:t>
            </w:r>
          </w:p>
        </w:tc>
        <w:tc>
          <w:tcPr>
            <w:tcW w:w="984" w:type="dxa"/>
            <w:vAlign w:val="top"/>
          </w:tcPr>
          <w:p>
            <w:pPr>
              <w:spacing w:before="0" w:after="0" w:line="240" w:lineRule="auto"/>
              <w:jc w:val="center"/>
            </w:pPr>
            <w:r>
              <w:rPr>
                <w:sz w:val="16"/>
                <w:szCs w:val="16"/>
              </w:rPr>
              <w:t xml:space="preserve">SA</w:t>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Șiruri de caractere</w:t>
            </w:r>
          </w:p>
        </w:tc>
        <w:tc>
          <w:tcPr>
            <w:tcW w:w="1665" w:type="dxa"/>
            <w:vAlign w:val="top"/>
          </w:tcPr>
          <w:p>
            <w:pPr>
              <w:spacing w:before="0" w:after="0" w:line="240" w:lineRule="auto"/>
              <w:jc w:val="center"/>
            </w:pPr>
            <w:r>
              <w:rPr>
                <w:sz w:val="16"/>
                <w:szCs w:val="16"/>
              </w:rPr>
              <w:t xml:space="preserve">1.3, 1.4</w:t>
            </w:r>
          </w:p>
        </w:tc>
        <w:tc>
          <w:tcPr>
            <w:tcW w:w="7190" w:type="dxa"/>
            <w:vAlign w:val="top"/>
          </w:tcPr>
          <w:p>
            <w:pPr>
              <w:spacing w:before="0" w:after="0" w:line="240" w:lineRule="auto"/>
            </w:pPr>
            <w:r>
              <w:rPr>
                <w:sz w:val="16"/>
                <w:szCs w:val="16"/>
              </w:rPr>
              <w:t xml:space="preserve">Particularități de memorare a șirurilor de caractere.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Șiruri de caractere</w:t>
            </w:r>
          </w:p>
        </w:tc>
        <w:tc>
          <w:tcPr>
            <w:tcW w:w="1665" w:type="dxa"/>
            <w:vAlign w:val="top"/>
          </w:tcPr>
          <w:p>
            <w:pPr>
              <w:spacing w:before="0" w:after="0" w:line="240" w:lineRule="auto"/>
              <w:jc w:val="center"/>
            </w:pPr>
            <w:r>
              <w:rPr>
                <w:sz w:val="16"/>
                <w:szCs w:val="16"/>
              </w:rPr>
              <w:t xml:space="preserve">1.4</w:t>
            </w:r>
          </w:p>
        </w:tc>
        <w:tc>
          <w:tcPr>
            <w:tcW w:w="7190" w:type="dxa"/>
            <w:vAlign w:val="top"/>
          </w:tcPr>
          <w:p>
            <w:pPr>
              <w:spacing w:before="0" w:after="0" w:line="240" w:lineRule="auto"/>
            </w:pPr>
            <w:r>
              <w:rPr>
                <w:sz w:val="16"/>
                <w:szCs w:val="16"/>
              </w:rPr>
              <w:t xml:space="preserve">Subprograme predefinite de prelucrare a șirurilor de caractere.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Șiruri de caractere</w:t>
            </w:r>
          </w:p>
        </w:tc>
        <w:tc>
          <w:tcPr>
            <w:tcW w:w="1665" w:type="dxa"/>
            <w:vAlign w:val="top"/>
          </w:tcPr>
          <w:p>
            <w:pPr>
              <w:spacing w:before="0" w:after="0" w:line="240" w:lineRule="auto"/>
              <w:jc w:val="center"/>
            </w:pPr>
            <w:r>
              <w:rPr>
                <w:sz w:val="16"/>
                <w:szCs w:val="16"/>
              </w:rPr>
              <w:t xml:space="preserve">1.3, 1.4</w:t>
            </w:r>
          </w:p>
        </w:tc>
        <w:tc>
          <w:tcPr>
            <w:tcW w:w="7190" w:type="dxa"/>
            <w:vAlign w:val="top"/>
          </w:tcPr>
          <w:p>
            <w:pPr>
              <w:spacing w:before="0" w:after="0" w:line="240" w:lineRule="auto"/>
            </w:pPr>
            <w:r>
              <w:rPr>
                <w:sz w:val="16"/>
                <w:szCs w:val="16"/>
              </w:rPr>
              <w:t xml:space="preserve">Implementarea unor algoritmi de prelucrare a șirurilor de caractere.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S17</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Șiruri de caractere</w:t>
            </w:r>
          </w:p>
        </w:tc>
        <w:tc>
          <w:tcPr>
            <w:tcW w:w="1665" w:type="dxa"/>
            <w:vAlign w:val="top"/>
          </w:tcPr>
          <w:p>
            <w:pPr>
              <w:spacing w:before="0" w:after="0" w:line="240" w:lineRule="auto"/>
              <w:jc w:val="center"/>
            </w:pPr>
            <w:r>
              <w:rPr>
                <w:sz w:val="16"/>
                <w:szCs w:val="16"/>
              </w:rPr>
              <w:t xml:space="preserve">1.4, 2.3</w:t>
            </w:r>
          </w:p>
        </w:tc>
        <w:tc>
          <w:tcPr>
            <w:tcW w:w="7190" w:type="dxa"/>
            <w:vAlign w:val="top"/>
          </w:tcPr>
          <w:p>
            <w:pPr>
              <w:spacing w:before="0" w:after="0" w:line="240" w:lineRule="auto"/>
            </w:pPr>
            <w:r>
              <w:rPr>
                <w:sz w:val="16"/>
                <w:szCs w:val="16"/>
              </w:rPr>
              <w:t xml:space="preserve">Utilizarea șirurilor de caractere în modelarea unor situații problemă.</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S18</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Structuri de date neomogene (struct/record)</w:t>
            </w:r>
          </w:p>
        </w:tc>
        <w:tc>
          <w:tcPr>
            <w:tcW w:w="1665" w:type="dxa"/>
            <w:vAlign w:val="top"/>
          </w:tcPr>
          <w:p>
            <w:pPr>
              <w:spacing w:before="0" w:after="0" w:line="240" w:lineRule="auto"/>
              <w:jc w:val="center"/>
            </w:pPr>
            <w:r>
              <w:rPr>
                <w:sz w:val="16"/>
                <w:szCs w:val="16"/>
              </w:rPr>
              <w:t xml:space="preserve">1.3, 1.4</w:t>
            </w:r>
          </w:p>
        </w:tc>
        <w:tc>
          <w:tcPr>
            <w:tcW w:w="7190" w:type="dxa"/>
            <w:vAlign w:val="top"/>
          </w:tcPr>
          <w:p>
            <w:pPr>
              <w:spacing w:before="0" w:after="0" w:line="240" w:lineRule="auto"/>
            </w:pPr>
            <w:r>
              <w:rPr>
                <w:sz w:val="16"/>
                <w:szCs w:val="16"/>
              </w:rPr>
              <w:t xml:space="preserve">Structuri de date neomogene. Utilizarea structurilor de date neomogene în modelarea unor situații problemă.</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S19</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Structuri de date neomogene (struct/record)</w:t>
            </w:r>
          </w:p>
        </w:tc>
        <w:tc>
          <w:tcPr>
            <w:tcW w:w="1665" w:type="dxa"/>
            <w:vAlign w:val="top"/>
          </w:tcPr>
          <w:p>
            <w:pPr>
              <w:spacing w:before="0" w:after="0" w:line="240" w:lineRule="auto"/>
              <w:jc w:val="center"/>
            </w:pPr>
            <w:r>
              <w:rPr>
                <w:sz w:val="16"/>
                <w:szCs w:val="16"/>
              </w:rPr>
              <w:t xml:space="preserve">1.4</w:t>
            </w:r>
          </w:p>
        </w:tc>
        <w:tc>
          <w:tcPr>
            <w:tcW w:w="7190" w:type="dxa"/>
            <w:vAlign w:val="top"/>
          </w:tcPr>
          <w:p>
            <w:pPr>
              <w:spacing w:before="0" w:after="0" w:line="240" w:lineRule="auto"/>
            </w:pPr>
            <w:r>
              <w:rPr>
                <w:sz w:val="16"/>
                <w:szCs w:val="16"/>
              </w:rPr>
              <w:t xml:space="preserve">Implementarea unor algoritmi de prelucrare a structurilor neomogene.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Structuri de date neomogene (struct/record)</w:t>
            </w:r>
          </w:p>
        </w:tc>
        <w:tc>
          <w:tcPr>
            <w:tcW w:w="1665" w:type="dxa"/>
            <w:vAlign w:val="top"/>
          </w:tcPr>
          <w:p>
            <w:pPr>
              <w:spacing w:before="0" w:after="0" w:line="240" w:lineRule="auto"/>
              <w:jc w:val="center"/>
            </w:pPr>
            <w:r>
              <w:rPr>
                <w:sz w:val="16"/>
                <w:szCs w:val="16"/>
              </w:rPr>
              <w:t xml:space="preserve">1.4, 2.3</w:t>
            </w:r>
          </w:p>
        </w:tc>
        <w:tc>
          <w:tcPr>
            <w:tcW w:w="7190" w:type="dxa"/>
            <w:vAlign w:val="top"/>
          </w:tcPr>
          <w:p>
            <w:pPr>
              <w:spacing w:before="0" w:after="0" w:line="240" w:lineRule="auto"/>
            </w:pPr>
            <w:r>
              <w:rPr>
                <w:sz w:val="16"/>
                <w:szCs w:val="16"/>
              </w:rPr>
              <w:t xml:space="preserve">Rezolvarea unor probleme cu caracter practic.</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S21</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Liste</w:t>
            </w:r>
          </w:p>
        </w:tc>
        <w:tc>
          <w:tcPr>
            <w:tcW w:w="1665" w:type="dxa"/>
            <w:vAlign w:val="top"/>
          </w:tcPr>
          <w:p>
            <w:pPr>
              <w:spacing w:before="0" w:after="0" w:line="240" w:lineRule="auto"/>
              <w:jc w:val="center"/>
            </w:pPr>
            <w:r>
              <w:rPr>
                <w:sz w:val="16"/>
                <w:szCs w:val="16"/>
              </w:rPr>
              <w:t xml:space="preserve">1.1, 1.2</w:t>
            </w:r>
          </w:p>
        </w:tc>
        <w:tc>
          <w:tcPr>
            <w:tcW w:w="7190" w:type="dxa"/>
            <w:vAlign w:val="top"/>
          </w:tcPr>
          <w:p>
            <w:pPr>
              <w:spacing w:before="0" w:after="0" w:line="240" w:lineRule="auto"/>
            </w:pPr>
            <w:r>
              <w:rPr>
                <w:sz w:val="16"/>
                <w:szCs w:val="16"/>
              </w:rPr>
              <w:t xml:space="preserve">Reprezentarea grafică a structurilor de tip listă. Operații specifice.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Liste</w:t>
            </w:r>
          </w:p>
        </w:tc>
        <w:tc>
          <w:tcPr>
            <w:tcW w:w="1665" w:type="dxa"/>
            <w:vAlign w:val="top"/>
          </w:tcPr>
          <w:p>
            <w:pPr>
              <w:spacing w:before="0" w:after="0" w:line="240" w:lineRule="auto"/>
              <w:jc w:val="center"/>
            </w:pPr>
            <w:r>
              <w:rPr>
                <w:sz w:val="16"/>
                <w:szCs w:val="16"/>
              </w:rPr>
              <w:t xml:space="preserve">1.2, 1.4</w:t>
            </w:r>
          </w:p>
        </w:tc>
        <w:tc>
          <w:tcPr>
            <w:tcW w:w="7190" w:type="dxa"/>
            <w:vAlign w:val="top"/>
          </w:tcPr>
          <w:p>
            <w:pPr>
              <w:spacing w:before="0" w:after="0" w:line="240" w:lineRule="auto"/>
            </w:pPr>
            <w:r>
              <w:rPr>
                <w:sz w:val="16"/>
                <w:szCs w:val="16"/>
              </w:rPr>
              <w:t xml:space="preserve">Stiva și coada. Operații specifice.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Liste</w:t>
            </w:r>
          </w:p>
        </w:tc>
        <w:tc>
          <w:tcPr>
            <w:tcW w:w="1665" w:type="dxa"/>
            <w:vAlign w:val="top"/>
          </w:tcPr>
          <w:p>
            <w:pPr>
              <w:spacing w:before="0" w:after="0" w:line="240" w:lineRule="auto"/>
              <w:jc w:val="center"/>
            </w:pPr>
            <w:r>
              <w:rPr>
                <w:sz w:val="16"/>
                <w:szCs w:val="16"/>
              </w:rPr>
              <w:t xml:space="preserve">1.2, 1.4</w:t>
            </w:r>
          </w:p>
        </w:tc>
        <w:tc>
          <w:tcPr>
            <w:tcW w:w="7190" w:type="dxa"/>
            <w:vAlign w:val="top"/>
          </w:tcPr>
          <w:p>
            <w:pPr>
              <w:spacing w:before="0" w:after="0" w:line="240" w:lineRule="auto"/>
            </w:pPr>
            <w:r>
              <w:rPr>
                <w:sz w:val="16"/>
                <w:szCs w:val="16"/>
              </w:rPr>
              <w:t xml:space="preserve">Aplicații cu implementare statică.</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Liste</w:t>
            </w:r>
          </w:p>
        </w:tc>
        <w:tc>
          <w:tcPr>
            <w:tcW w:w="1665" w:type="dxa"/>
            <w:vAlign w:val="top"/>
          </w:tcPr>
          <w:p>
            <w:pPr>
              <w:spacing w:before="0" w:after="0" w:line="240" w:lineRule="auto"/>
              <w:jc w:val="center"/>
            </w:pPr>
            <w:r>
              <w:rPr>
                <w:sz w:val="16"/>
                <w:szCs w:val="16"/>
              </w:rPr>
              <w:t xml:space="preserve">1.2, 2.3</w:t>
            </w:r>
          </w:p>
        </w:tc>
        <w:tc>
          <w:tcPr>
            <w:tcW w:w="7190" w:type="dxa"/>
            <w:vAlign w:val="top"/>
          </w:tcPr>
          <w:p>
            <w:pPr>
              <w:spacing w:before="0" w:after="0" w:line="240" w:lineRule="auto"/>
            </w:pPr>
            <w:r>
              <w:rPr>
                <w:sz w:val="16"/>
                <w:szCs w:val="16"/>
              </w:rPr>
              <w:t xml:space="preserve">Aplicații cu implementare statică. Identificarea avantajelor utilizării diferitelor metode de structurare a datelor.</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S25</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Grafuri orientate și neorientate</w:t>
            </w:r>
          </w:p>
        </w:tc>
        <w:tc>
          <w:tcPr>
            <w:tcW w:w="1665" w:type="dxa"/>
            <w:vAlign w:val="top"/>
          </w:tcPr>
          <w:p>
            <w:pPr>
              <w:spacing w:before="0" w:after="0" w:line="240" w:lineRule="auto"/>
              <w:jc w:val="center"/>
            </w:pPr>
            <w:r>
              <w:rPr>
                <w:sz w:val="16"/>
                <w:szCs w:val="16"/>
              </w:rPr>
              <w:t xml:space="preserve">1.5, 1.6</w:t>
            </w:r>
          </w:p>
        </w:tc>
        <w:tc>
          <w:tcPr>
            <w:tcW w:w="7190" w:type="dxa"/>
            <w:vAlign w:val="top"/>
          </w:tcPr>
          <w:p>
            <w:pPr>
              <w:spacing w:before="0" w:after="0" w:line="240" w:lineRule="auto"/>
            </w:pPr>
            <w:r>
              <w:rPr>
                <w:sz w:val="16"/>
                <w:szCs w:val="16"/>
              </w:rPr>
              <w:t xml:space="preserve">Terminologie și proprietăți: graf orientat și neorientat, adiacență, incidență, grad. Transpunerea unei probleme din limbaj natural în limbaj de grafuri.</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Săptămâna verde</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Activitate stabilită de unitatea de învățământ: modelarea în limbaj de grafuri a unei rețele de trasee sau de puncte de colectare.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S27</w:t>
            </w:r>
          </w:p>
        </w:tc>
        <w:tc>
          <w:tcPr>
            <w:tcW w:w="984" w:type="dxa"/>
            <w:vAlign w:val="top"/>
          </w:tcPr>
          <w:p>
            <w:pPr>
              <w:spacing w:before="0" w:after="0" w:line="240" w:lineRule="auto"/>
              <w:jc w:val="center"/>
            </w:pPr>
            <w:r>
              <w:rPr>
                <w:sz w:val="16"/>
                <w:szCs w:val="16"/>
              </w:rPr>
              <w:t xml:space="preserve">SV</w:t>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Grafuri orientate și neorientate</w:t>
            </w:r>
          </w:p>
        </w:tc>
        <w:tc>
          <w:tcPr>
            <w:tcW w:w="1665" w:type="dxa"/>
            <w:vAlign w:val="top"/>
          </w:tcPr>
          <w:p>
            <w:pPr>
              <w:spacing w:before="0" w:after="0" w:line="240" w:lineRule="auto"/>
              <w:jc w:val="center"/>
            </w:pPr>
            <w:r>
              <w:rPr>
                <w:sz w:val="16"/>
                <w:szCs w:val="16"/>
              </w:rPr>
              <w:t xml:space="preserve">1.5, 1.6</w:t>
            </w:r>
          </w:p>
        </w:tc>
        <w:tc>
          <w:tcPr>
            <w:tcW w:w="7190" w:type="dxa"/>
            <w:vAlign w:val="top"/>
          </w:tcPr>
          <w:p>
            <w:pPr>
              <w:spacing w:before="0" w:after="0" w:line="240" w:lineRule="auto"/>
            </w:pPr>
            <w:r>
              <w:rPr>
                <w:sz w:val="16"/>
                <w:szCs w:val="16"/>
              </w:rPr>
              <w:t xml:space="preserve">Terminologie și proprietăți: lanț, lanț elementar, drum, drum elementar, ciclu, ciclu elementar, circuit, circuit elementar.</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Grafuri orientate și neorientate</w:t>
            </w:r>
          </w:p>
        </w:tc>
        <w:tc>
          <w:tcPr>
            <w:tcW w:w="1665" w:type="dxa"/>
            <w:vAlign w:val="top"/>
          </w:tcPr>
          <w:p>
            <w:pPr>
              <w:spacing w:before="0" w:after="0" w:line="240" w:lineRule="auto"/>
              <w:jc w:val="center"/>
            </w:pPr>
            <w:r>
              <w:rPr>
                <w:sz w:val="16"/>
                <w:szCs w:val="16"/>
              </w:rPr>
              <w:t xml:space="preserve">1.5, 1.6</w:t>
            </w:r>
          </w:p>
        </w:tc>
        <w:tc>
          <w:tcPr>
            <w:tcW w:w="7190" w:type="dxa"/>
            <w:vAlign w:val="top"/>
          </w:tcPr>
          <w:p>
            <w:pPr>
              <w:spacing w:before="0" w:after="0" w:line="240" w:lineRule="auto"/>
            </w:pPr>
            <w:r>
              <w:rPr>
                <w:sz w:val="16"/>
                <w:szCs w:val="16"/>
              </w:rPr>
              <w:t xml:space="preserve">Terminologie și proprietăți: subgraf, graf parțial, conexitate, tare conexitate, arbore, arbore parțial.</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S29</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Grafuri orientate și neorientate</w:t>
            </w:r>
          </w:p>
        </w:tc>
        <w:tc>
          <w:tcPr>
            <w:tcW w:w="1665" w:type="dxa"/>
            <w:vAlign w:val="top"/>
          </w:tcPr>
          <w:p>
            <w:pPr>
              <w:spacing w:before="0" w:after="0" w:line="240" w:lineRule="auto"/>
              <w:jc w:val="center"/>
            </w:pPr>
            <w:r>
              <w:rPr>
                <w:sz w:val="16"/>
                <w:szCs w:val="16"/>
              </w:rPr>
              <w:t xml:space="preserve">1.2, 1.5</w:t>
            </w:r>
          </w:p>
        </w:tc>
        <w:tc>
          <w:tcPr>
            <w:tcW w:w="7190" w:type="dxa"/>
            <w:vAlign w:val="top"/>
          </w:tcPr>
          <w:p>
            <w:pPr>
              <w:spacing w:before="0" w:after="0" w:line="240" w:lineRule="auto"/>
            </w:pPr>
            <w:r>
              <w:rPr>
                <w:sz w:val="16"/>
                <w:szCs w:val="16"/>
              </w:rPr>
              <w:t xml:space="preserve">Reprezentarea în memorie a grafurilor: matrice de adiacență, liste de adiacență, lista muchiilor/arcelor.</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S30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Grafuri orientate și neorientate</w:t>
            </w:r>
          </w:p>
        </w:tc>
        <w:tc>
          <w:tcPr>
            <w:tcW w:w="1665" w:type="dxa"/>
            <w:vAlign w:val="top"/>
          </w:tcPr>
          <w:p>
            <w:pPr>
              <w:spacing w:before="0" w:after="0" w:line="240" w:lineRule="auto"/>
              <w:jc w:val="center"/>
            </w:pPr>
            <w:r>
              <w:rPr>
                <w:sz w:val="16"/>
                <w:szCs w:val="16"/>
              </w:rPr>
              <w:t xml:space="preserve">1.6, 2.3</w:t>
            </w:r>
          </w:p>
        </w:tc>
        <w:tc>
          <w:tcPr>
            <w:tcW w:w="7190" w:type="dxa"/>
            <w:vAlign w:val="top"/>
          </w:tcPr>
          <w:p>
            <w:pPr>
              <w:spacing w:before="0" w:after="0" w:line="240" w:lineRule="auto"/>
            </w:pPr>
            <w:r>
              <w:rPr>
                <w:sz w:val="16"/>
                <w:szCs w:val="16"/>
              </w:rPr>
              <w:t xml:space="preserve">Parcurgerea grafurilor. Aplicații.</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S31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Grafuri orientate și neorientate</w:t>
            </w:r>
          </w:p>
        </w:tc>
        <w:tc>
          <w:tcPr>
            <w:tcW w:w="1665" w:type="dxa"/>
            <w:vAlign w:val="top"/>
          </w:tcPr>
          <w:p>
            <w:pPr>
              <w:spacing w:before="0" w:after="0" w:line="240" w:lineRule="auto"/>
              <w:jc w:val="center"/>
            </w:pPr>
            <w:r>
              <w:rPr>
                <w:sz w:val="16"/>
                <w:szCs w:val="16"/>
              </w:rPr>
              <w:t xml:space="preserve">1.6, 2.3</w:t>
            </w:r>
          </w:p>
        </w:tc>
        <w:tc>
          <w:tcPr>
            <w:tcW w:w="7190" w:type="dxa"/>
            <w:vAlign w:val="top"/>
          </w:tcPr>
          <w:p>
            <w:pPr>
              <w:spacing w:before="0" w:after="0" w:line="240" w:lineRule="auto"/>
            </w:pPr>
            <w:r>
              <w:rPr>
                <w:sz w:val="16"/>
                <w:szCs w:val="16"/>
              </w:rPr>
              <w:t xml:space="preserve">Descrierea unor algoritmi simpli de verificare a unor proprietăți specifice grafurilor.</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S32</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Metoda de programare Divide et Impera</w:t>
            </w:r>
          </w:p>
        </w:tc>
        <w:tc>
          <w:tcPr>
            <w:tcW w:w="1665" w:type="dxa"/>
            <w:vAlign w:val="top"/>
          </w:tcPr>
          <w:p>
            <w:pPr>
              <w:spacing w:before="0" w:after="0" w:line="240" w:lineRule="auto"/>
              <w:jc w:val="center"/>
            </w:pPr>
            <w:r>
              <w:rPr>
                <w:sz w:val="16"/>
                <w:szCs w:val="16"/>
              </w:rPr>
              <w:t xml:space="preserve">2.1, 2.2</w:t>
            </w:r>
          </w:p>
        </w:tc>
        <w:tc>
          <w:tcPr>
            <w:tcW w:w="7190" w:type="dxa"/>
            <w:vAlign w:val="top"/>
          </w:tcPr>
          <w:p>
            <w:pPr>
              <w:spacing w:before="0" w:after="0" w:line="240" w:lineRule="auto"/>
            </w:pPr>
            <w:r>
              <w:rPr>
                <w:sz w:val="16"/>
                <w:szCs w:val="16"/>
              </w:rPr>
              <w:t xml:space="preserve">Prezentare generală. Aplicații. Analiza problemei în scopul identificării metodei de programare adecvate rezolvării problemei.</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S33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Metoda de programare Backtracking</w:t>
            </w:r>
          </w:p>
        </w:tc>
        <w:tc>
          <w:tcPr>
            <w:tcW w:w="1665" w:type="dxa"/>
            <w:vAlign w:val="top"/>
          </w:tcPr>
          <w:p>
            <w:pPr>
              <w:spacing w:before="0" w:after="0" w:line="240" w:lineRule="auto"/>
              <w:jc w:val="center"/>
            </w:pPr>
            <w:r>
              <w:rPr>
                <w:sz w:val="16"/>
                <w:szCs w:val="16"/>
              </w:rPr>
              <w:t xml:space="preserve">2.1, 2.2</w:t>
            </w:r>
          </w:p>
        </w:tc>
        <w:tc>
          <w:tcPr>
            <w:tcW w:w="7190" w:type="dxa"/>
            <w:vAlign w:val="top"/>
          </w:tcPr>
          <w:p>
            <w:pPr>
              <w:spacing w:before="0" w:after="0" w:line="240" w:lineRule="auto"/>
            </w:pPr>
            <w:r>
              <w:rPr>
                <w:sz w:val="16"/>
                <w:szCs w:val="16"/>
              </w:rPr>
              <w:t xml:space="preserve">Prezentare generală. Construirea unor soluții pentru probleme simple care se rezolvă cu ajutorul metodelor de programare.</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S34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Metoda de programare Backtracking</w:t>
            </w:r>
          </w:p>
        </w:tc>
        <w:tc>
          <w:tcPr>
            <w:tcW w:w="1665" w:type="dxa"/>
            <w:vAlign w:val="top"/>
          </w:tcPr>
          <w:p>
            <w:pPr>
              <w:spacing w:before="0" w:after="0" w:line="240" w:lineRule="auto"/>
              <w:jc w:val="center"/>
            </w:pPr>
            <w:r>
              <w:rPr>
                <w:sz w:val="16"/>
                <w:szCs w:val="16"/>
              </w:rPr>
              <w:t xml:space="preserve">2.2</w:t>
            </w:r>
          </w:p>
        </w:tc>
        <w:tc>
          <w:tcPr>
            <w:tcW w:w="7190" w:type="dxa"/>
            <w:vAlign w:val="top"/>
          </w:tcPr>
          <w:p>
            <w:pPr>
              <w:spacing w:before="0" w:after="0" w:line="240" w:lineRule="auto"/>
            </w:pPr>
            <w:r>
              <w:rPr>
                <w:sz w:val="16"/>
                <w:szCs w:val="16"/>
              </w:rPr>
              <w:t xml:space="preserve">Implementarea iterativă sau recursivă a algoritmilor de generare a produsului cartezian, permutărilor, combinărilor, aranjamentelor, submulțimilor unei mulțimi.</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S35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Metoda de programare Backtracking. Evaluare finală</w:t>
            </w:r>
          </w:p>
        </w:tc>
        <w:tc>
          <w:tcPr>
            <w:tcW w:w="1665" w:type="dxa"/>
            <w:vAlign w:val="top"/>
          </w:tcPr>
          <w:p>
            <w:pPr>
              <w:spacing w:before="0" w:after="0" w:line="240" w:lineRule="auto"/>
              <w:jc w:val="center"/>
            </w:pPr>
            <w:r>
              <w:rPr>
                <w:sz w:val="16"/>
                <w:szCs w:val="16"/>
              </w:rPr>
              <w:t xml:space="preserve">2.3</w:t>
            </w:r>
          </w:p>
        </w:tc>
        <w:tc>
          <w:tcPr>
            <w:tcW w:w="7190" w:type="dxa"/>
            <w:vAlign w:val="top"/>
          </w:tcPr>
          <w:p>
            <w:pPr>
              <w:spacing w:before="0" w:after="0" w:line="240" w:lineRule="auto"/>
            </w:pPr>
            <w:r>
              <w:rPr>
                <w:sz w:val="16"/>
                <w:szCs w:val="16"/>
              </w:rPr>
              <w:t xml:space="preserve">Aplicarea creativă a metodelor de programare pentru rezolvarea unor probleme intradisciplinare sau interdisciplinare, sau a unor probleme cu aplicabilitate practică.</w:t>
            </w:r>
          </w:p>
        </w:tc>
        <w:tc>
          <w:tcPr>
            <w:tcW w:w="832" w:type="dxa"/>
            <w:vAlign w:val="top"/>
          </w:tcPr>
          <w:p>
            <w:pPr>
              <w:spacing w:before="0" w:after="0" w:line="240" w:lineRule="auto"/>
              <w:jc w:val="center"/>
            </w:pPr>
            <w:r>
              <w:rPr>
                <w:sz w:val="16"/>
                <w:szCs w:val="16"/>
              </w:rPr>
              <w:t xml:space="preserve">4</w:t>
            </w:r>
          </w:p>
        </w:tc>
        <w:tc>
          <w:tcPr>
            <w:tcW w:w="1060" w:type="dxa"/>
            <w:vAlign w:val="top"/>
          </w:tcPr>
          <w:p>
            <w:pPr>
              <w:spacing w:before="0" w:after="0" w:line="240" w:lineRule="auto"/>
              <w:jc w:val="center"/>
            </w:pPr>
            <w:r>
              <w:rPr>
                <w:sz w:val="16"/>
                <w:szCs w:val="16"/>
              </w:rPr>
              <w:t xml:space="preserve">S36</w:t>
            </w:r>
          </w:p>
        </w:tc>
        <w:tc>
          <w:tcPr>
            <w:tcW w:w="984" w:type="dxa"/>
            <w:vAlign w:val="top"/>
          </w:tcPr>
          <w:p>
            <w:pPr>
              <w:spacing w:before="0" w:after="0" w:line="240" w:lineRule="auto"/>
              <w:jc w:val="center"/>
            </w:pPr>
            <w:r>
              <w:rPr>
                <w:sz w:val="16"/>
                <w:szCs w:val="16"/>
              </w:rPr>
              <w:t xml:space="preserve">R</w:t>
            </w:r>
          </w:p>
        </w:tc>
      </w:tr>
    </w:tbl>
    <w:p>
      <w:pPr>
        <w:spacing w:before="0" w:after="0" w:line="240" w:lineRule="auto"/>
      </w:pPr>
      <w:r>
        <w:rPr>
          <w:sz w:val="12"/>
          <w:szCs w:val="12"/>
        </w:rPr>
        <w:t xml:space="preserve"/>
      </w:r>
    </w:p>
    <w:p>
      <w:pPr>
        <w:spacing w:before="0" w:after="120" w:line="240" w:lineRule="auto"/>
      </w:pPr>
      <w:r>
        <w:rPr>
          <w:b/>
          <w:sz w:val="18"/>
          <w:szCs w:val="18"/>
        </w:rPr>
        <w:t xml:space="preserve">Legendă:</w:t>
      </w:r>
      <w:r>
        <w:rPr>
          <w:sz w:val="18"/>
          <w:szCs w:val="18"/>
        </w:rPr>
        <w:t xml:space="preserve"> R = activitate din rezerva curriculară (remediere, consolidare, aprofundare, extindere, proiect sau evaluare); SA = Școala altfel; SV = Săptămâna verde.</w:t>
      </w:r>
    </w:p>
    <w:p>
      <w:pPr>
        <w:spacing w:before="0" w:after="200" w:line="240" w:lineRule="auto"/>
      </w:pPr>
      <w:r>
        <w:rPr>
          <w:sz w:val="20"/>
          <w:szCs w:val="20"/>
        </w:rPr>
        <w:t xml:space="preserve"/>
      </w:r>
    </w:p>
    <w:p>
      <w:pPr>
        <w:spacing w:before="0" w:after="80" w:line="240" w:lineRule="auto"/>
      </w:pPr>
      <w:r>
        <w:rPr>
          <w:b/>
          <w:sz w:val="19"/>
          <w:szCs w:val="19"/>
        </w:rPr>
        <w:t xml:space="preserve">Avizat, responsabil comisie metodică:</w:t>
      </w:r>
      <w:r>
        <w:rPr>
          <w:sz w:val="19"/>
          <w:szCs w:val="19"/>
        </w:rPr>
        <w:t xml:space="preserve"> …………………………………………………………………………</w:t>
      </w:r>
    </w:p>
    <w:p>
      <w:pPr>
        <w:spacing w:before="0" w:after="80" w:line="240" w:lineRule="auto"/>
      </w:pPr>
      <w:r>
        <w:rPr>
          <w:b/>
          <w:sz w:val="19"/>
          <w:szCs w:val="19"/>
        </w:rPr>
        <w:t xml:space="preserve">Avizat, director:</w:t>
      </w:r>
      <w:r>
        <w:rPr>
          <w:sz w:val="19"/>
          <w:szCs w:val="19"/>
        </w:rPr>
        <w:t xml:space="preserve"> …………………………………………………………………………</w:t>
      </w:r>
    </w:p>
    <w:sectPr>
      <w:pgSz w:w="16838" w:h="11906" w:orient="landscape"/>
      <w:pgMar w:top="851" w:right="851" w:bottom="851" w:left="851" w:header="454" w:footer="454" w:gutter="0"/>
    </w:sectPr>
  </w:body>
</w:document>
</file>

<file path=word/styles.xml><?xml version="1.0" encoding="utf-8"?>
<w:styles xmlns:w="http://schemas.openxmlformats.org/wordprocessingml/2006/main">
  <w:docDefaults>
    <w:rPrDefault>
      <w:rPr>
        <w:rFonts w:ascii="Calibri" w:hAnsi="Calibri" w:cs="Calibri"/>
        <w:sz w:val="20"/>
        <w:szCs w:val="20"/>
        <w:lang w:val="ro-RO"/>
      </w:rPr>
    </w:rPrDefault>
    <w:pPrDefault>
      <w:pPr>
        <w:spacing w:after="60" w:line="240" w:lineRule="auto"/>
      </w:pPr>
    </w:pPrDefault>
  </w:docDefaults>
  <w:style w:type="paragraph" w:default="1" w:styleId="Normal">
    <w:name w:val="Normal"/>
  </w:style>
  <w:style w:type="paragraph" w:styleId="Titlu1">
    <w:name w:val="heading 1"/>
    <w:basedOn w:val="Normal"/>
    <w:pPr>
      <w:outlineLvl w:val="0"/>
    </w:pPr>
    <w:rPr>
      <w:b/>
      <w:color w:val="1F4E79"/>
    </w:rPr>
  </w:style>
  <w:style w:type="paragraph" w:styleId="Titlu2">
    <w:name w:val="heading 2"/>
    <w:basedOn w:val="Normal"/>
    <w:pPr>
      <w:outlineLvl w:val="1"/>
    </w:pPr>
    <w:rPr>
      <w:b/>
      <w:color w:val="1F4E79"/>
    </w:rPr>
  </w:style>
  <w:style w:type="paragraph" w:styleId="Titlu3">
    <w:name w:val="heading 3"/>
    <w:basedOn w:val="Normal"/>
    <w:pPr>
      <w:outlineLvl w:val="2"/>
    </w:pPr>
    <w:rPr>
      <w:b/>
      <w:color w:val="1F4E79"/>
    </w:rPr>
  </w:style>
</w:styles>
</file>

<file path=word/_rels/document.xml.rels><?xml version="1.0" encoding="UTF-8" standalone="yes"?><Relationships xmlns="http://schemas.openxmlformats.org/package/2006/relationships"><Relationship Id="rIdStiluri" Type="http://schemas.openxmlformats.org/officeDocument/2006/relationships/styles" Target="styles.xml"/></Relationships>
</file>