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Informatică, clasa a XI-a, regim intensiv</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Informatică</w:t>
      </w:r>
    </w:p>
    <w:p>
      <w:pPr>
        <w:spacing w:before="0" w:after="40" w:line="240" w:lineRule="auto"/>
      </w:pPr>
      <w:r>
        <w:rPr>
          <w:b/>
          <w:sz w:val="19"/>
          <w:szCs w:val="19"/>
        </w:rPr>
        <w:t xml:space="preserve">Clasa:</w:t>
      </w:r>
      <w:r>
        <w:rPr>
          <w:sz w:val="19"/>
          <w:szCs w:val="19"/>
        </w:rPr>
        <w:t xml:space="preserve"> a XI-a</w:t>
      </w:r>
    </w:p>
    <w:p>
      <w:pPr>
        <w:spacing w:before="0" w:after="40" w:line="240" w:lineRule="auto"/>
      </w:pPr>
      <w:r>
        <w:rPr>
          <w:b/>
          <w:sz w:val="19"/>
          <w:szCs w:val="19"/>
        </w:rPr>
        <w:t xml:space="preserve">Filiera / profilul:</w:t>
      </w:r>
      <w:r>
        <w:rPr>
          <w:sz w:val="19"/>
          <w:szCs w:val="19"/>
        </w:rPr>
        <w:t xml:space="preserve"> Teoretică / real</w:t>
      </w:r>
    </w:p>
    <w:p>
      <w:pPr>
        <w:spacing w:before="0" w:after="40" w:line="240" w:lineRule="auto"/>
      </w:pPr>
      <w:r>
        <w:rPr>
          <w:b/>
          <w:sz w:val="19"/>
          <w:szCs w:val="19"/>
        </w:rPr>
        <w:t xml:space="preserve">Specializarea:</w:t>
      </w:r>
      <w:r>
        <w:rPr>
          <w:sz w:val="19"/>
          <w:szCs w:val="19"/>
        </w:rPr>
        <w:t xml:space="preserve"> Matematică-informatică, regim intensiv informatică</w:t>
      </w:r>
    </w:p>
    <w:p>
      <w:pPr>
        <w:spacing w:before="0" w:after="40" w:line="240" w:lineRule="auto"/>
      </w:pPr>
      <w:r>
        <w:rPr>
          <w:b/>
          <w:sz w:val="19"/>
          <w:szCs w:val="19"/>
        </w:rPr>
        <w:t xml:space="preserve">Nr. ore / săptămână:</w:t>
      </w:r>
      <w:r>
        <w:rPr>
          <w:sz w:val="19"/>
          <w:szCs w:val="19"/>
        </w:rPr>
        <w:t xml:space="preserve"> 7 ore (3 teorie + 4 activități practice)</w:t>
      </w:r>
    </w:p>
    <w:p>
      <w:pPr>
        <w:spacing w:before="0" w:after="40" w:line="240" w:lineRule="auto"/>
      </w:pPr>
      <w:r>
        <w:rPr>
          <w:b/>
          <w:sz w:val="19"/>
          <w:szCs w:val="19"/>
        </w:rPr>
        <w:t xml:space="preserve">Total anual:</w:t>
      </w:r>
      <w:r>
        <w:rPr>
          <w:sz w:val="19"/>
          <w:szCs w:val="19"/>
        </w:rPr>
        <w:t xml:space="preserve"> 252 ore / 36 săptămâni</w:t>
      </w:r>
    </w:p>
    <w:p>
      <w:pPr>
        <w:spacing w:before="0" w:after="40" w:line="240" w:lineRule="auto"/>
      </w:pPr>
      <w:r>
        <w:rPr>
          <w:b/>
          <w:sz w:val="19"/>
          <w:szCs w:val="19"/>
        </w:rPr>
        <w:t xml:space="preserve">Programa școlară:</w:t>
      </w:r>
      <w:r>
        <w:rPr>
          <w:sz w:val="19"/>
          <w:szCs w:val="19"/>
        </w:rPr>
        <w:t xml:space="preserve"> OMECI nr. 5.099/09.09.2009</w:t>
      </w:r>
    </w:p>
    <w:p>
      <w:pPr>
        <w:spacing w:before="0" w:after="40" w:line="240" w:lineRule="auto"/>
      </w:pPr>
      <w:r>
        <w:rPr>
          <w:b/>
          <w:sz w:val="19"/>
          <w:szCs w:val="19"/>
        </w:rPr>
        <w:t xml:space="preserve">Plan-cadru:</w:t>
      </w:r>
      <w:r>
        <w:rPr>
          <w:sz w:val="19"/>
          <w:szCs w:val="19"/>
        </w:rPr>
        <w:t xml:space="preserve"> OMECI nr. 3.410/16.03.2009</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Conținuturile și activitățile de învățare sunt preluate din programa școlară. Metoda Divide et Impera se studiază în vederea corelării programei curente cu programa anterioară. Poziționarea perioadelor „Școala altfel” și „Săptămâna verde” este orientativă și va fi adaptată calendarului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Liste simplu înlănțuite</w:t>
            </w:r>
          </w:p>
        </w:tc>
        <w:tc>
          <w:tcPr>
            <w:tcW w:w="3330" w:type="dxa"/>
            <w:vAlign w:val="top"/>
          </w:tcPr>
          <w:p>
            <w:pPr>
              <w:spacing w:before="0" w:after="0" w:line="240" w:lineRule="auto"/>
              <w:jc w:val="center"/>
            </w:pPr>
            <w:r>
              <w:rPr>
                <w:sz w:val="16"/>
                <w:szCs w:val="16"/>
              </w:rPr>
              <w:t xml:space="preserve">21</w:t>
            </w:r>
          </w:p>
        </w:tc>
      </w:tr>
      <w:tr>
        <w:trPr>
          <w:cantSplit/>
        </w:trPr>
        <w:tc>
          <w:tcPr>
            <w:tcW w:w="11806" w:type="dxa"/>
            <w:vAlign w:val="top"/>
          </w:tcPr>
          <w:p>
            <w:pPr>
              <w:spacing w:before="0" w:after="0" w:line="240" w:lineRule="auto"/>
            </w:pPr>
            <w:r>
              <w:rPr>
                <w:sz w:val="16"/>
                <w:szCs w:val="16"/>
              </w:rPr>
              <w:t xml:space="preserve">Grafuri: terminologie, proprietăți și tipuri speciale</w:t>
            </w:r>
          </w:p>
        </w:tc>
        <w:tc>
          <w:tcPr>
            <w:tcW w:w="3330" w:type="dxa"/>
            <w:vAlign w:val="top"/>
          </w:tcPr>
          <w:p>
            <w:pPr>
              <w:spacing w:before="0" w:after="0" w:line="240" w:lineRule="auto"/>
              <w:jc w:val="center"/>
            </w:pPr>
            <w:r>
              <w:rPr>
                <w:sz w:val="16"/>
                <w:szCs w:val="16"/>
              </w:rPr>
              <w:t xml:space="preserve">28</w:t>
            </w:r>
          </w:p>
        </w:tc>
      </w:tr>
      <w:tr>
        <w:trPr>
          <w:cantSplit/>
        </w:trPr>
        <w:tc>
          <w:tcPr>
            <w:tcW w:w="11806" w:type="dxa"/>
            <w:vAlign w:val="top"/>
          </w:tcPr>
          <w:p>
            <w:pPr>
              <w:spacing w:before="0" w:after="0" w:line="240" w:lineRule="auto"/>
            </w:pPr>
            <w:r>
              <w:rPr>
                <w:sz w:val="16"/>
                <w:szCs w:val="16"/>
              </w:rPr>
              <w:t xml:space="preserve">Reprezentarea grafurilor</w:t>
            </w:r>
          </w:p>
        </w:tc>
        <w:tc>
          <w:tcPr>
            <w:tcW w:w="3330" w:type="dxa"/>
            <w:vAlign w:val="top"/>
          </w:tcPr>
          <w:p>
            <w:pPr>
              <w:spacing w:before="0" w:after="0" w:line="240" w:lineRule="auto"/>
              <w:jc w:val="center"/>
            </w:pPr>
            <w:r>
              <w:rPr>
                <w:sz w:val="16"/>
                <w:szCs w:val="16"/>
              </w:rPr>
              <w:t xml:space="preserve">14</w:t>
            </w:r>
          </w:p>
        </w:tc>
      </w:tr>
      <w:tr>
        <w:trPr>
          <w:cantSplit/>
        </w:trPr>
        <w:tc>
          <w:tcPr>
            <w:tcW w:w="11806" w:type="dxa"/>
            <w:vAlign w:val="top"/>
          </w:tcPr>
          <w:p>
            <w:pPr>
              <w:spacing w:before="0" w:after="0" w:line="240" w:lineRule="auto"/>
            </w:pPr>
            <w:r>
              <w:rPr>
                <w:sz w:val="16"/>
                <w:szCs w:val="16"/>
              </w:rPr>
              <w:t xml:space="preserve">Algoritmi de prelucrare a grafurilor</w:t>
            </w:r>
          </w:p>
        </w:tc>
        <w:tc>
          <w:tcPr>
            <w:tcW w:w="3330" w:type="dxa"/>
            <w:vAlign w:val="top"/>
          </w:tcPr>
          <w:p>
            <w:pPr>
              <w:spacing w:before="0" w:after="0" w:line="240" w:lineRule="auto"/>
              <w:jc w:val="center"/>
            </w:pPr>
            <w:r>
              <w:rPr>
                <w:sz w:val="16"/>
                <w:szCs w:val="16"/>
              </w:rPr>
              <w:t xml:space="preserve">56</w:t>
            </w:r>
          </w:p>
        </w:tc>
      </w:tr>
      <w:tr>
        <w:trPr>
          <w:cantSplit/>
        </w:trPr>
        <w:tc>
          <w:tcPr>
            <w:tcW w:w="11806" w:type="dxa"/>
            <w:vAlign w:val="top"/>
          </w:tcPr>
          <w:p>
            <w:pPr>
              <w:spacing w:before="0" w:after="0" w:line="240" w:lineRule="auto"/>
            </w:pPr>
            <w:r>
              <w:rPr>
                <w:sz w:val="16"/>
                <w:szCs w:val="16"/>
              </w:rPr>
              <w:t xml:space="preserve">Structuri de date arborescente</w:t>
            </w:r>
          </w:p>
        </w:tc>
        <w:tc>
          <w:tcPr>
            <w:tcW w:w="3330" w:type="dxa"/>
            <w:vAlign w:val="top"/>
          </w:tcPr>
          <w:p>
            <w:pPr>
              <w:spacing w:before="0" w:after="0" w:line="240" w:lineRule="auto"/>
              <w:jc w:val="center"/>
            </w:pPr>
            <w:r>
              <w:rPr>
                <w:sz w:val="16"/>
                <w:szCs w:val="16"/>
              </w:rPr>
              <w:t xml:space="preserve">49</w:t>
            </w:r>
          </w:p>
        </w:tc>
      </w:tr>
      <w:tr>
        <w:trPr>
          <w:cantSplit/>
        </w:trPr>
        <w:tc>
          <w:tcPr>
            <w:tcW w:w="11806" w:type="dxa"/>
            <w:vAlign w:val="top"/>
          </w:tcPr>
          <w:p>
            <w:pPr>
              <w:spacing w:before="0" w:after="0" w:line="240" w:lineRule="auto"/>
            </w:pPr>
            <w:r>
              <w:rPr>
                <w:sz w:val="16"/>
                <w:szCs w:val="16"/>
              </w:rPr>
              <w:t xml:space="preserve">Metoda de programare Greedy</w:t>
            </w:r>
          </w:p>
        </w:tc>
        <w:tc>
          <w:tcPr>
            <w:tcW w:w="3330" w:type="dxa"/>
            <w:vAlign w:val="top"/>
          </w:tcPr>
          <w:p>
            <w:pPr>
              <w:spacing w:before="0" w:after="0" w:line="240" w:lineRule="auto"/>
              <w:jc w:val="center"/>
            </w:pPr>
            <w:r>
              <w:rPr>
                <w:sz w:val="16"/>
                <w:szCs w:val="16"/>
              </w:rPr>
              <w:t xml:space="preserve">21</w:t>
            </w:r>
          </w:p>
        </w:tc>
      </w:tr>
      <w:tr>
        <w:trPr>
          <w:cantSplit/>
        </w:trPr>
        <w:tc>
          <w:tcPr>
            <w:tcW w:w="11806" w:type="dxa"/>
            <w:vAlign w:val="top"/>
          </w:tcPr>
          <w:p>
            <w:pPr>
              <w:spacing w:before="0" w:after="0" w:line="240" w:lineRule="auto"/>
            </w:pPr>
            <w:r>
              <w:rPr>
                <w:sz w:val="16"/>
                <w:szCs w:val="16"/>
              </w:rPr>
              <w:t xml:space="preserve">Metoda de programare Backtracking</w:t>
            </w:r>
          </w:p>
        </w:tc>
        <w:tc>
          <w:tcPr>
            <w:tcW w:w="3330" w:type="dxa"/>
            <w:vAlign w:val="top"/>
          </w:tcPr>
          <w:p>
            <w:pPr>
              <w:spacing w:before="0" w:after="0" w:line="240" w:lineRule="auto"/>
              <w:jc w:val="center"/>
            </w:pPr>
            <w:r>
              <w:rPr>
                <w:sz w:val="16"/>
                <w:szCs w:val="16"/>
              </w:rPr>
              <w:t xml:space="preserve">21</w:t>
            </w:r>
          </w:p>
        </w:tc>
      </w:tr>
      <w:tr>
        <w:trPr>
          <w:cantSplit/>
        </w:trPr>
        <w:tc>
          <w:tcPr>
            <w:tcW w:w="11806" w:type="dxa"/>
            <w:vAlign w:val="top"/>
          </w:tcPr>
          <w:p>
            <w:pPr>
              <w:spacing w:before="0" w:after="0" w:line="240" w:lineRule="auto"/>
            </w:pPr>
            <w:r>
              <w:rPr>
                <w:sz w:val="16"/>
                <w:szCs w:val="16"/>
              </w:rPr>
              <w:t xml:space="preserve">Metoda Divide et Impera și programarea dinamică</w:t>
            </w:r>
          </w:p>
        </w:tc>
        <w:tc>
          <w:tcPr>
            <w:tcW w:w="3330" w:type="dxa"/>
            <w:vAlign w:val="top"/>
          </w:tcPr>
          <w:p>
            <w:pPr>
              <w:spacing w:before="0" w:after="0" w:line="240" w:lineRule="auto"/>
              <w:jc w:val="center"/>
            </w:pPr>
            <w:r>
              <w:rPr>
                <w:sz w:val="16"/>
                <w:szCs w:val="16"/>
              </w:rPr>
              <w:t xml:space="preserve">14</w:t>
            </w:r>
          </w:p>
        </w:tc>
      </w:tr>
      <w:tr>
        <w:trPr>
          <w:cantSplit/>
        </w:trPr>
        <w:tc>
          <w:tcPr>
            <w:tcW w:w="11806" w:type="dxa"/>
            <w:vAlign w:val="top"/>
          </w:tcPr>
          <w:p>
            <w:pPr>
              <w:spacing w:before="0" w:after="0" w:line="240" w:lineRule="auto"/>
            </w:pPr>
            <w:r>
              <w:rPr>
                <w:sz w:val="16"/>
                <w:szCs w:val="16"/>
              </w:rPr>
              <w:t xml:space="preserve">Elemente de programare orientată pe obiecte</w:t>
            </w:r>
          </w:p>
        </w:tc>
        <w:tc>
          <w:tcPr>
            <w:tcW w:w="3330" w:type="dxa"/>
            <w:vAlign w:val="top"/>
          </w:tcPr>
          <w:p>
            <w:pPr>
              <w:spacing w:before="0" w:after="0" w:line="240" w:lineRule="auto"/>
              <w:jc w:val="center"/>
            </w:pPr>
            <w:r>
              <w:rPr>
                <w:sz w:val="16"/>
                <w:szCs w:val="16"/>
              </w:rPr>
              <w:t xml:space="preserve">7</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7</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14</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252</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1.2, 1.7</w:t>
            </w:r>
          </w:p>
        </w:tc>
        <w:tc>
          <w:tcPr>
            <w:tcW w:w="7190" w:type="dxa"/>
            <w:vAlign w:val="top"/>
          </w:tcPr>
          <w:p>
            <w:pPr>
              <w:spacing w:before="0" w:after="0" w:line="240" w:lineRule="auto"/>
            </w:pPr>
            <w:r>
              <w:rPr>
                <w:sz w:val="16"/>
                <w:szCs w:val="16"/>
              </w:rPr>
              <w:t xml:space="preserve">Evaluare predictivă. Activități de dezvoltare a deprinderilor de organizare a informației în diferite structuri de date.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Liste simplu înlănțuite</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Descrierea operațiilor specifice listelor simplu înlănțuite. Demonstrarea modului de realizare a operațiilor elementare specifice diferitelor structuri de date.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Liste simplu înlănțuite</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Elaborarea unor subprograme care să implementeze operațiile specifice listelor simplu înlănțuite.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Liste simplu înlănțuite</w:t>
            </w:r>
          </w:p>
        </w:tc>
        <w:tc>
          <w:tcPr>
            <w:tcW w:w="1665" w:type="dxa"/>
            <w:vAlign w:val="top"/>
          </w:tcPr>
          <w:p>
            <w:pPr>
              <w:spacing w:before="0" w:after="0" w:line="240" w:lineRule="auto"/>
              <w:jc w:val="center"/>
            </w:pPr>
            <w:r>
              <w:rPr>
                <w:sz w:val="16"/>
                <w:szCs w:val="16"/>
              </w:rPr>
              <w:t xml:space="preserve">1.5, 1.7</w:t>
            </w:r>
          </w:p>
        </w:tc>
        <w:tc>
          <w:tcPr>
            <w:tcW w:w="7190" w:type="dxa"/>
            <w:vAlign w:val="top"/>
          </w:tcPr>
          <w:p>
            <w:pPr>
              <w:spacing w:before="0" w:after="0" w:line="240" w:lineRule="auto"/>
            </w:pPr>
            <w:r>
              <w:rPr>
                <w:sz w:val="16"/>
                <w:szCs w:val="16"/>
              </w:rPr>
              <w:t xml:space="preserve">Analizarea în mod comparativ a avantajelor utilizării diferitelor metode de structurare a datelor.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Grafuri neorientate și grafuri orientate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Terminologie: graf neorientat, graf orientat, lanț, lanț elementar, drum, drum elementar. Prezentarea unor situații practice familiare elevilor care pot fi modelate în termenii teoriei grafurilor.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Grafuri neorientate și grafuri orientate</w:t>
            </w:r>
          </w:p>
        </w:tc>
        <w:tc>
          <w:tcPr>
            <w:tcW w:w="1665" w:type="dxa"/>
            <w:vAlign w:val="top"/>
          </w:tcPr>
          <w:p>
            <w:pPr>
              <w:spacing w:before="0" w:after="0" w:line="240" w:lineRule="auto"/>
              <w:jc w:val="center"/>
            </w:pPr>
            <w:r>
              <w:rPr>
                <w:sz w:val="16"/>
                <w:szCs w:val="16"/>
              </w:rPr>
              <w:t xml:space="preserve">1.1, 1.3</w:t>
            </w:r>
          </w:p>
        </w:tc>
        <w:tc>
          <w:tcPr>
            <w:tcW w:w="7190" w:type="dxa"/>
            <w:vAlign w:val="top"/>
          </w:tcPr>
          <w:p>
            <w:pPr>
              <w:spacing w:before="0" w:after="0" w:line="240" w:lineRule="auto"/>
            </w:pPr>
            <w:r>
              <w:rPr>
                <w:sz w:val="16"/>
                <w:szCs w:val="16"/>
              </w:rPr>
              <w:t xml:space="preserve">Terminologie: ciclu, ciclu elementar, circuit, circuit elementar, grad, graf parțial, subgraf. Reprezentarea grafică a grafurilor.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Grafuri neorientate și grafuri orientate</w:t>
            </w:r>
          </w:p>
        </w:tc>
        <w:tc>
          <w:tcPr>
            <w:tcW w:w="1665" w:type="dxa"/>
            <w:vAlign w:val="top"/>
          </w:tcPr>
          <w:p>
            <w:pPr>
              <w:spacing w:before="0" w:after="0" w:line="240" w:lineRule="auto"/>
              <w:jc w:val="center"/>
            </w:pPr>
            <w:r>
              <w:rPr>
                <w:sz w:val="16"/>
                <w:szCs w:val="16"/>
              </w:rPr>
              <w:t xml:space="preserve">1.1, 1.3</w:t>
            </w:r>
          </w:p>
        </w:tc>
        <w:tc>
          <w:tcPr>
            <w:tcW w:w="7190" w:type="dxa"/>
            <w:vAlign w:val="top"/>
          </w:tcPr>
          <w:p>
            <w:pPr>
              <w:spacing w:before="0" w:after="0" w:line="240" w:lineRule="auto"/>
            </w:pPr>
            <w:r>
              <w:rPr>
                <w:sz w:val="16"/>
                <w:szCs w:val="16"/>
              </w:rPr>
              <w:t xml:space="preserve">Terminologie: conexitate, tare conexitate, arbore, graf ponderat, arbore parțial, arbore parțial de cost minim.</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Grafuri neorientate și grafuri orientate</w:t>
            </w:r>
          </w:p>
        </w:tc>
        <w:tc>
          <w:tcPr>
            <w:tcW w:w="1665" w:type="dxa"/>
            <w:vAlign w:val="top"/>
          </w:tcPr>
          <w:p>
            <w:pPr>
              <w:spacing w:before="0" w:after="0" w:line="240" w:lineRule="auto"/>
              <w:jc w:val="center"/>
            </w:pPr>
            <w:r>
              <w:rPr>
                <w:sz w:val="16"/>
                <w:szCs w:val="16"/>
              </w:rPr>
              <w:t xml:space="preserve">1.1, 1.3</w:t>
            </w:r>
          </w:p>
        </w:tc>
        <w:tc>
          <w:tcPr>
            <w:tcW w:w="7190" w:type="dxa"/>
            <w:vAlign w:val="top"/>
          </w:tcPr>
          <w:p>
            <w:pPr>
              <w:spacing w:before="0" w:after="0" w:line="240" w:lineRule="auto"/>
            </w:pPr>
            <w:r>
              <w:rPr>
                <w:sz w:val="16"/>
                <w:szCs w:val="16"/>
              </w:rPr>
              <w:t xml:space="preserve">Tipuri speciale de grafuri: graf complet, graf hamiltonian, graf eulerian, graf bipartit, graf turneu.</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Reprezentarea grafurilor</w:t>
            </w:r>
          </w:p>
        </w:tc>
        <w:tc>
          <w:tcPr>
            <w:tcW w:w="1665" w:type="dxa"/>
            <w:vAlign w:val="top"/>
          </w:tcPr>
          <w:p>
            <w:pPr>
              <w:spacing w:before="0" w:after="0" w:line="240" w:lineRule="auto"/>
              <w:jc w:val="center"/>
            </w:pPr>
            <w:r>
              <w:rPr>
                <w:sz w:val="16"/>
                <w:szCs w:val="16"/>
              </w:rPr>
              <w:t xml:space="preserve">1.2, 1.7</w:t>
            </w:r>
          </w:p>
        </w:tc>
        <w:tc>
          <w:tcPr>
            <w:tcW w:w="7190" w:type="dxa"/>
            <w:vAlign w:val="top"/>
          </w:tcPr>
          <w:p>
            <w:pPr>
              <w:spacing w:before="0" w:after="0" w:line="240" w:lineRule="auto"/>
            </w:pPr>
            <w:r>
              <w:rPr>
                <w:sz w:val="16"/>
                <w:szCs w:val="16"/>
              </w:rPr>
              <w:t xml:space="preserve">Matrice de adiacență, liste de adiacență, lista muchiilor, matricea costurilor. Identificarea modalităților eficiente de reprezentare a datelor necesare pentru rezolvarea unei probleme.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Reprezentarea grafurilor</w:t>
            </w:r>
          </w:p>
        </w:tc>
        <w:tc>
          <w:tcPr>
            <w:tcW w:w="1665" w:type="dxa"/>
            <w:vAlign w:val="top"/>
          </w:tcPr>
          <w:p>
            <w:pPr>
              <w:spacing w:before="0" w:after="0" w:line="240" w:lineRule="auto"/>
              <w:jc w:val="center"/>
            </w:pPr>
            <w:r>
              <w:rPr>
                <w:sz w:val="16"/>
                <w:szCs w:val="16"/>
              </w:rPr>
              <w:t xml:space="preserve">1.2, 1.7</w:t>
            </w:r>
          </w:p>
        </w:tc>
        <w:tc>
          <w:tcPr>
            <w:tcW w:w="7190" w:type="dxa"/>
            <w:vAlign w:val="top"/>
          </w:tcPr>
          <w:p>
            <w:pPr>
              <w:spacing w:before="0" w:after="0" w:line="240" w:lineRule="auto"/>
            </w:pPr>
            <w:r>
              <w:rPr>
                <w:sz w:val="16"/>
                <w:szCs w:val="16"/>
              </w:rPr>
              <w:t xml:space="preserve">Analizarea în mod comparativ a avantajelor utilizării diferitelor metode de reprezentare a grafurilor.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Parcurgerea grafurilor în lățime. Descrierea algoritmilor fundamentali de prelucrare a grafurilor și implementarea acestora într-un limbaj de programare.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Parcurgerea grafurilor în adâncime.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1.3, 1.4</w:t>
            </w:r>
          </w:p>
        </w:tc>
        <w:tc>
          <w:tcPr>
            <w:tcW w:w="7190" w:type="dxa"/>
            <w:vAlign w:val="top"/>
          </w:tcPr>
          <w:p>
            <w:pPr>
              <w:spacing w:before="0" w:after="0" w:line="240" w:lineRule="auto"/>
            </w:pPr>
            <w:r>
              <w:rPr>
                <w:sz w:val="16"/>
                <w:szCs w:val="16"/>
              </w:rPr>
              <w:t xml:space="preserve">Determinarea componentelor conexe ale unui graf neorientat.</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unei situații practice în termenii teoriei grafurilor.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1.3, 1.4</w:t>
            </w:r>
          </w:p>
        </w:tc>
        <w:tc>
          <w:tcPr>
            <w:tcW w:w="7190" w:type="dxa"/>
            <w:vAlign w:val="top"/>
          </w:tcPr>
          <w:p>
            <w:pPr>
              <w:spacing w:before="0" w:after="0" w:line="240" w:lineRule="auto"/>
            </w:pPr>
            <w:r>
              <w:rPr>
                <w:sz w:val="16"/>
                <w:szCs w:val="16"/>
              </w:rPr>
              <w:t xml:space="preserve">Determinarea componentelor tare conexe ale unui graf orientat.</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Determinarea matricei lanțurilor/drumurilor.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1.4, 2.3</w:t>
            </w:r>
          </w:p>
        </w:tc>
        <w:tc>
          <w:tcPr>
            <w:tcW w:w="7190" w:type="dxa"/>
            <w:vAlign w:val="top"/>
          </w:tcPr>
          <w:p>
            <w:pPr>
              <w:spacing w:before="0" w:after="0" w:line="240" w:lineRule="auto"/>
            </w:pPr>
            <w:r>
              <w:rPr>
                <w:sz w:val="16"/>
                <w:szCs w:val="16"/>
              </w:rPr>
              <w:t xml:space="preserve">Determinarea drumurilor de cost minim într-un graf: algoritmul lui Dijkstra.</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1.4, 2.3</w:t>
            </w:r>
          </w:p>
        </w:tc>
        <w:tc>
          <w:tcPr>
            <w:tcW w:w="7190" w:type="dxa"/>
            <w:vAlign w:val="top"/>
          </w:tcPr>
          <w:p>
            <w:pPr>
              <w:spacing w:before="0" w:after="0" w:line="240" w:lineRule="auto"/>
            </w:pPr>
            <w:r>
              <w:rPr>
                <w:sz w:val="16"/>
                <w:szCs w:val="16"/>
              </w:rPr>
              <w:t xml:space="preserve">Determinarea drumurilor de cost minim într-un graf: algoritmul Roy-Floyd.</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Algoritmi de prelucrare a grafurilor</w:t>
            </w:r>
          </w:p>
        </w:tc>
        <w:tc>
          <w:tcPr>
            <w:tcW w:w="1665" w:type="dxa"/>
            <w:vAlign w:val="top"/>
          </w:tcPr>
          <w:p>
            <w:pPr>
              <w:spacing w:before="0" w:after="0" w:line="240" w:lineRule="auto"/>
              <w:jc w:val="center"/>
            </w:pPr>
            <w:r>
              <w:rPr>
                <w:sz w:val="16"/>
                <w:szCs w:val="16"/>
              </w:rPr>
              <w:t xml:space="preserve">1.4, 2.3</w:t>
            </w:r>
          </w:p>
        </w:tc>
        <w:tc>
          <w:tcPr>
            <w:tcW w:w="7190" w:type="dxa"/>
            <w:vAlign w:val="top"/>
          </w:tcPr>
          <w:p>
            <w:pPr>
              <w:spacing w:before="0" w:after="0" w:line="240" w:lineRule="auto"/>
            </w:pPr>
            <w:r>
              <w:rPr>
                <w:sz w:val="16"/>
                <w:szCs w:val="16"/>
              </w:rPr>
              <w:t xml:space="preserve">Arbori parțiali de cost minim: algoritmul lui Kruskal sau algoritmul lui Prim.</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Arbori cu rădăcină: definiție, proprietăți, reprezentare cu referințe ascendente și cu referințe descendente.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Arbori binari: definiție, proprietăți specifice, reprezentarea cu referințe descendente.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Arbori binari: operații specifice. Elaborarea unor subprograme care să implementeze aceste operații.</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Arbore binar complet: definiție, proprietăți, reprezentare secvențială.</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1.6, 1.7</w:t>
            </w:r>
          </w:p>
        </w:tc>
        <w:tc>
          <w:tcPr>
            <w:tcW w:w="7190" w:type="dxa"/>
            <w:vAlign w:val="top"/>
          </w:tcPr>
          <w:p>
            <w:pPr>
              <w:spacing w:before="0" w:after="0" w:line="240" w:lineRule="auto"/>
            </w:pPr>
            <w:r>
              <w:rPr>
                <w:sz w:val="16"/>
                <w:szCs w:val="16"/>
              </w:rPr>
              <w:t xml:space="preserve">Arbore binar de căutare: definiție, proprietăți, operații specifice (inserare nod, ștergere nod, căutare element).</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1.6, 1.7</w:t>
            </w:r>
          </w:p>
        </w:tc>
        <w:tc>
          <w:tcPr>
            <w:tcW w:w="7190" w:type="dxa"/>
            <w:vAlign w:val="top"/>
          </w:tcPr>
          <w:p>
            <w:pPr>
              <w:spacing w:before="0" w:after="0" w:line="240" w:lineRule="auto"/>
            </w:pPr>
            <w:r>
              <w:rPr>
                <w:sz w:val="16"/>
                <w:szCs w:val="16"/>
              </w:rPr>
              <w:t xml:space="preserve">Heap-uri: definiție, proprietăți, operații specifice (inserare nod, extragerea nodului cu cheie maximă/minimă).</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Structuri de date arborescente</w:t>
            </w:r>
          </w:p>
        </w:tc>
        <w:tc>
          <w:tcPr>
            <w:tcW w:w="1665" w:type="dxa"/>
            <w:vAlign w:val="top"/>
          </w:tcPr>
          <w:p>
            <w:pPr>
              <w:spacing w:before="0" w:after="0" w:line="240" w:lineRule="auto"/>
              <w:jc w:val="center"/>
            </w:pPr>
            <w:r>
              <w:rPr>
                <w:sz w:val="16"/>
                <w:szCs w:val="16"/>
              </w:rPr>
              <w:t xml:space="preserve">1.7, 3.1</w:t>
            </w:r>
          </w:p>
        </w:tc>
        <w:tc>
          <w:tcPr>
            <w:tcW w:w="7190" w:type="dxa"/>
            <w:vAlign w:val="top"/>
          </w:tcPr>
          <w:p>
            <w:pPr>
              <w:spacing w:before="0" w:after="0" w:line="240" w:lineRule="auto"/>
            </w:pPr>
            <w:r>
              <w:rPr>
                <w:sz w:val="16"/>
                <w:szCs w:val="16"/>
              </w:rPr>
              <w:t xml:space="preserve">Analizarea în mod comparativ a avantajelor utilizării diferitelor structuri arborescente.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unei rețele de puncte de colectare printr-un graf ponderat.</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Metoda de programare Greedy</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Descrierea generală a metodei, utilitate. Analiza problemei în scopul identificării metodei de programare adecvate.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Metoda de programare Greedy</w:t>
            </w:r>
          </w:p>
        </w:tc>
        <w:tc>
          <w:tcPr>
            <w:tcW w:w="1665" w:type="dxa"/>
            <w:vAlign w:val="top"/>
          </w:tcPr>
          <w:p>
            <w:pPr>
              <w:spacing w:before="0" w:after="0" w:line="240" w:lineRule="auto"/>
              <w:jc w:val="center"/>
            </w:pPr>
            <w:r>
              <w:rPr>
                <w:sz w:val="16"/>
                <w:szCs w:val="16"/>
              </w:rPr>
              <w:t xml:space="preserve">2.2, 2.3</w:t>
            </w:r>
          </w:p>
        </w:tc>
        <w:tc>
          <w:tcPr>
            <w:tcW w:w="7190" w:type="dxa"/>
            <w:vAlign w:val="top"/>
          </w:tcPr>
          <w:p>
            <w:pPr>
              <w:spacing w:before="0" w:after="0" w:line="240" w:lineRule="auto"/>
            </w:pPr>
            <w:r>
              <w:rPr>
                <w:sz w:val="16"/>
                <w:szCs w:val="16"/>
              </w:rPr>
              <w:t xml:space="preserve">Aplicații. Aplicarea creativă a metodelor de programare pentru rezolvarea unor probleme cu aplicabilitate practică.</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Greedy</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Analiza comparativă a eficienței diferitelor metode de rezolvare a aceleiași probleme.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Descrierea generală a metodei, utilitate.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Aplicații. Descompunerea rezolvării unei probleme în subprobleme.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w:t>
            </w:r>
          </w:p>
        </w:tc>
        <w:tc>
          <w:tcPr>
            <w:tcW w:w="1665" w:type="dxa"/>
            <w:vAlign w:val="top"/>
          </w:tcPr>
          <w:p>
            <w:pPr>
              <w:spacing w:before="0" w:after="0" w:line="240" w:lineRule="auto"/>
              <w:jc w:val="center"/>
            </w:pPr>
            <w:r>
              <w:rPr>
                <w:sz w:val="16"/>
                <w:szCs w:val="16"/>
              </w:rPr>
              <w:t xml:space="preserve">2.2, 2.3</w:t>
            </w:r>
          </w:p>
        </w:tc>
        <w:tc>
          <w:tcPr>
            <w:tcW w:w="7190" w:type="dxa"/>
            <w:vAlign w:val="top"/>
          </w:tcPr>
          <w:p>
            <w:pPr>
              <w:spacing w:before="0" w:after="0" w:line="240" w:lineRule="auto"/>
            </w:pPr>
            <w:r>
              <w:rPr>
                <w:sz w:val="16"/>
                <w:szCs w:val="16"/>
              </w:rPr>
              <w:t xml:space="preserve">Aplicații. Aplicarea creativă a metodelor de programare pentru rezolvarea unor probleme intradisciplinare sau interdisciplinare.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Divide et Impera. Programarea dinamică</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Metoda de programare Divide et Impera (corelarea cu programa anterioară). Metoda programării dinamice: descrierea generală a metodei, utilitate.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Divide et Impera. Programarea dinamică</w:t>
            </w:r>
          </w:p>
        </w:tc>
        <w:tc>
          <w:tcPr>
            <w:tcW w:w="1665" w:type="dxa"/>
            <w:vAlign w:val="top"/>
          </w:tcPr>
          <w:p>
            <w:pPr>
              <w:spacing w:before="0" w:after="0" w:line="240" w:lineRule="auto"/>
              <w:jc w:val="center"/>
            </w:pPr>
            <w:r>
              <w:rPr>
                <w:sz w:val="16"/>
                <w:szCs w:val="16"/>
              </w:rPr>
              <w:t xml:space="preserve">2.2, 2.3</w:t>
            </w:r>
          </w:p>
        </w:tc>
        <w:tc>
          <w:tcPr>
            <w:tcW w:w="7190" w:type="dxa"/>
            <w:vAlign w:val="top"/>
          </w:tcPr>
          <w:p>
            <w:pPr>
              <w:spacing w:before="0" w:after="0" w:line="240" w:lineRule="auto"/>
            </w:pPr>
            <w:r>
              <w:rPr>
                <w:sz w:val="16"/>
                <w:szCs w:val="16"/>
              </w:rPr>
              <w:t xml:space="preserve">Aplicații ale programării dinamice. Analiza comparativă a eficienței diferitelor metode de rezolvare a aceleiași probleme.</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Elemente de programare orientată pe obiecte</w:t>
            </w:r>
          </w:p>
        </w:tc>
        <w:tc>
          <w:tcPr>
            <w:tcW w:w="1665" w:type="dxa"/>
            <w:vAlign w:val="top"/>
          </w:tcPr>
          <w:p>
            <w:pPr>
              <w:spacing w:before="0" w:after="0" w:line="240" w:lineRule="auto"/>
              <w:jc w:val="center"/>
            </w:pPr>
            <w:r>
              <w:rPr>
                <w:sz w:val="16"/>
                <w:szCs w:val="16"/>
              </w:rPr>
              <w:t xml:space="preserve">3.1, 3.2</w:t>
            </w:r>
          </w:p>
        </w:tc>
        <w:tc>
          <w:tcPr>
            <w:tcW w:w="7190" w:type="dxa"/>
            <w:vAlign w:val="top"/>
          </w:tcPr>
          <w:p>
            <w:pPr>
              <w:spacing w:before="0" w:after="0" w:line="240" w:lineRule="auto"/>
            </w:pPr>
            <w:r>
              <w:rPr>
                <w:sz w:val="16"/>
                <w:szCs w:val="16"/>
              </w:rPr>
              <w:t xml:space="preserve">Principiile programării orientate pe obiecte. Clase și obiecte (definire, utilizare, operații specifice). Utilizarea tehnicilor moderne în implementarea aplicațiilor.</w:t>
            </w:r>
          </w:p>
        </w:tc>
        <w:tc>
          <w:tcPr>
            <w:tcW w:w="832" w:type="dxa"/>
            <w:vAlign w:val="top"/>
          </w:tcPr>
          <w:p>
            <w:pPr>
              <w:spacing w:before="0" w:after="0" w:line="240" w:lineRule="auto"/>
              <w:jc w:val="center"/>
            </w:pPr>
            <w:r>
              <w:rPr>
                <w:sz w:val="16"/>
                <w:szCs w:val="16"/>
              </w:rPr>
              <w:t xml:space="preserve">7</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